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7512"/>
      </w:tblGrid>
      <w:tr w:rsidR="006F4584" w:rsidTr="0098675B">
        <w:tc>
          <w:tcPr>
            <w:tcW w:w="2836" w:type="dxa"/>
          </w:tcPr>
          <w:p w:rsidR="006F4584" w:rsidRPr="007016DB" w:rsidRDefault="00613DEF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Producto</w:t>
            </w:r>
          </w:p>
        </w:tc>
        <w:tc>
          <w:tcPr>
            <w:tcW w:w="7512" w:type="dxa"/>
          </w:tcPr>
          <w:p w:rsidR="006F4584" w:rsidRPr="00613DEF" w:rsidRDefault="006B7205" w:rsidP="004A27D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Pintura de demarcación base agua</w:t>
            </w:r>
            <w:r w:rsidR="001F3653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946F3D" w:rsidRPr="00946F3D">
              <w:rPr>
                <w:rFonts w:ascii="Brush Script MT" w:eastAsia="KozGoPro-Regular" w:hAnsi="Brush Script MT" w:cs="Times New Roman"/>
                <w:b/>
                <w:i w:val="0"/>
                <w:sz w:val="40"/>
                <w:szCs w:val="40"/>
              </w:rPr>
              <w:t>Signature</w:t>
            </w:r>
            <w:proofErr w:type="spellEnd"/>
            <w:r w:rsidR="00946F3D">
              <w:rPr>
                <w:rFonts w:ascii="Brush Script MT" w:eastAsia="KozGoPro-Regular" w:hAnsi="Brush Script MT" w:cs="Times New Roman"/>
                <w:b/>
                <w:i w:val="0"/>
                <w:sz w:val="40"/>
                <w:szCs w:val="40"/>
              </w:rPr>
              <w:t xml:space="preserve"> </w:t>
            </w: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Características</w:t>
            </w:r>
          </w:p>
          <w:p w:rsidR="006F4584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Generales</w:t>
            </w:r>
          </w:p>
        </w:tc>
        <w:tc>
          <w:tcPr>
            <w:tcW w:w="7512" w:type="dxa"/>
          </w:tcPr>
          <w:p w:rsidR="006E4D22" w:rsidRDefault="006B7205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Pintura de demarcación base agua</w:t>
            </w:r>
            <w:r w:rsidR="006E4D22"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, de alta</w:t>
            </w:r>
            <w:r w:rsidR="007E434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="006E4D22"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tecnología (acrílico-poliuretano) con gran durabilidad y ecológica</w:t>
            </w:r>
            <w:r w:rsid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="006E4D22"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que </w:t>
            </w:r>
            <w:r w:rsid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la hace amigable </w:t>
            </w:r>
            <w:r w:rsidR="006E4D22"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con el medio ambiente.</w:t>
            </w:r>
          </w:p>
          <w:p w:rsidR="0098675B" w:rsidRPr="006B7205" w:rsidRDefault="006B7205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bidi="ar-SA"/>
              </w:rPr>
              <w:t xml:space="preserve">Es </w:t>
            </w:r>
            <w:r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lang w:bidi="ar-SA"/>
              </w:rPr>
              <w:t xml:space="preserve">un producto especialmente diseñado para señalización de superficies </w:t>
            </w:r>
            <w:proofErr w:type="spellStart"/>
            <w:r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lang w:bidi="ar-SA"/>
              </w:rPr>
              <w:t>cementicias</w:t>
            </w:r>
            <w:proofErr w:type="spellEnd"/>
            <w:r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lang w:bidi="ar-SA"/>
              </w:rPr>
              <w:t xml:space="preserve"> (calles y cordones como ejemplo)</w:t>
            </w:r>
          </w:p>
        </w:tc>
      </w:tr>
      <w:tr w:rsidR="005143AA" w:rsidRPr="00D64A8C" w:rsidTr="0098675B">
        <w:tc>
          <w:tcPr>
            <w:tcW w:w="2836" w:type="dxa"/>
          </w:tcPr>
          <w:p w:rsidR="005143AA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Usos</w:t>
            </w:r>
          </w:p>
        </w:tc>
        <w:tc>
          <w:tcPr>
            <w:tcW w:w="7512" w:type="dxa"/>
          </w:tcPr>
          <w:p w:rsidR="005143AA" w:rsidRDefault="006B7205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De aplicación </w:t>
            </w:r>
            <w:r w:rsidR="00946F3D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en </w:t>
            </w:r>
            <w:r w:rsidR="0098675B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Ex</w:t>
            </w:r>
            <w:r w:rsidR="00946F3D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teriores</w:t>
            </w:r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Posee excelente adherencia sobre superficies de revoque, </w:t>
            </w:r>
            <w:proofErr w:type="spellStart"/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enduído</w:t>
            </w:r>
            <w:proofErr w:type="spellEnd"/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, cemento, </w:t>
            </w:r>
            <w:r w:rsidR="006E4D2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baldosas</w:t>
            </w:r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 etc.</w:t>
            </w:r>
          </w:p>
          <w:p w:rsidR="0098675B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La tecnología de </w:t>
            </w:r>
            <w:proofErr w:type="spellStart"/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micropolimeros</w:t>
            </w:r>
            <w:proofErr w:type="spellEnd"/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le 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otorga</w:t>
            </w:r>
            <w:proofErr w:type="gramEnd"/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 este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gran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recubrimiento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propiedades de alta 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durabilidad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 la intemperie</w:t>
            </w:r>
            <w:r w:rsidR="002574B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y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excepcional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rendimiento,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</w:p>
          <w:p w:rsidR="0098675B" w:rsidRPr="005978C6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Posee un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excelente</w:t>
            </w:r>
            <w:r w:rsidR="006E4D2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poder impermeabilizante</w:t>
            </w: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</w:p>
          <w:p w:rsidR="0098675B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Con un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acabado terso al tacto</w:t>
            </w: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98675B" w:rsidRPr="005143AA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5143AA" w:rsidRPr="005143AA" w:rsidTr="0098675B">
        <w:tc>
          <w:tcPr>
            <w:tcW w:w="2836" w:type="dxa"/>
          </w:tcPr>
          <w:p w:rsidR="005143AA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Colores disponibles</w:t>
            </w:r>
          </w:p>
        </w:tc>
        <w:tc>
          <w:tcPr>
            <w:tcW w:w="7512" w:type="dxa"/>
          </w:tcPr>
          <w:p w:rsidR="005143AA" w:rsidRDefault="007016DB" w:rsidP="006F458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proofErr w:type="gramStart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Blanco </w:t>
            </w:r>
            <w:r w:rsidR="006B7205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</w:t>
            </w:r>
            <w:proofErr w:type="gramEnd"/>
            <w:r w:rsidR="006B7205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amarillo (otros colores por pedido)</w:t>
            </w:r>
          </w:p>
          <w:p w:rsidR="0098675B" w:rsidRPr="005143AA" w:rsidRDefault="0098675B" w:rsidP="006F458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Preparación de la superficie</w:t>
            </w:r>
          </w:p>
        </w:tc>
        <w:tc>
          <w:tcPr>
            <w:tcW w:w="7512" w:type="dxa"/>
          </w:tcPr>
          <w:p w:rsidR="006E4D22" w:rsidRPr="006E4D22" w:rsidRDefault="006E4D22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La superfi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cie debe estar seca, sana y limpia, libre de polvo, lechadas de cemento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o mortero, grasa o material que impida la adherencia del producto. En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algunos sustratos cementici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os es conveniente retirar por medios mecánicos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la capa superfi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cial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cuando se presentan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situaciones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de </w:t>
            </w:r>
            <w:proofErr w:type="spellStart"/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descascaramientos</w:t>
            </w:r>
            <w:proofErr w:type="spellEnd"/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o superficies flojas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. En superficies metálicas o de concreto contaminadas con grasa se recomienda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, recomienda eliminarla antes de seguir con la aplicación del producto No aplicar este producto sobre grietas mayores a </w:t>
            </w:r>
            <w:r w:rsidR="007E434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1.5 mm de apertura</w:t>
            </w:r>
          </w:p>
          <w:p w:rsidR="006E4D22" w:rsidRPr="006E4D22" w:rsidRDefault="006E4D22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El sustrato debe tener la pendiente adecuada y estar sin depresiones que den</w:t>
            </w:r>
            <w:r w:rsidR="007E434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lugar a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que el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agua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se quede por tiempos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prolongados o permanentes. La humedad de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la superfi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cie debe ser menor al 6% antes de a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plicar el producto.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La </w:t>
            </w:r>
            <w:r w:rsidR="006B7205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Pintura de demarcación base agua </w:t>
            </w:r>
            <w:proofErr w:type="spellStart"/>
            <w:r w:rsidR="006B7205" w:rsidRPr="006B7205">
              <w:rPr>
                <w:rFonts w:ascii="Brush Script MT" w:eastAsia="KozGoPro-Regular" w:hAnsi="Brush Script MT" w:cs="Times New Roman"/>
                <w:b/>
                <w:i w:val="0"/>
                <w:sz w:val="28"/>
                <w:szCs w:val="28"/>
              </w:rPr>
              <w:t>Signature</w:t>
            </w:r>
            <w:proofErr w:type="spellEnd"/>
            <w:r w:rsidR="006B7205">
              <w:rPr>
                <w:rFonts w:ascii="Brush Script MT" w:eastAsia="KozGoPro-Regular" w:hAnsi="Brush Script MT" w:cs="Times New Roman"/>
                <w:b/>
                <w:i w:val="0"/>
                <w:sz w:val="40"/>
                <w:szCs w:val="40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se puede apli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car sobre mortero, concreto, fi</w:t>
            </w:r>
            <w:r w:rsidR="0008543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bro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cemento, ladrillo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de arcilla, piedras naturales, cerámicas, metales (zinc), madera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y pinturas existentes. Antes de aplicar el producto es importante retirar el material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suelto o degradado del sustrato.</w:t>
            </w:r>
          </w:p>
          <w:p w:rsidR="006E4D22" w:rsidRPr="006E4D22" w:rsidRDefault="006E4D22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En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cerámicas o materiales vitrifi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cados se debe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lijar hasta obtener una superfi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cie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rugosa antes de pintar.</w:t>
            </w:r>
            <w:bookmarkStart w:id="0" w:name="_GoBack"/>
            <w:bookmarkEnd w:id="0"/>
          </w:p>
          <w:p w:rsidR="0098675B" w:rsidRPr="002A23D2" w:rsidRDefault="006E4D22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Los mantos asfálticos se deben retirar en su totalidad antes de aplicar el producto.</w:t>
            </w: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Aplicación</w:t>
            </w:r>
          </w:p>
        </w:tc>
        <w:tc>
          <w:tcPr>
            <w:tcW w:w="7512" w:type="dxa"/>
          </w:tcPr>
          <w:p w:rsidR="006F4584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A pincel, rodillo o soplete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airless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2A23D2" w:rsidRPr="00D64A8C" w:rsidRDefault="002A23D2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Composición</w:t>
            </w:r>
          </w:p>
        </w:tc>
        <w:tc>
          <w:tcPr>
            <w:tcW w:w="7512" w:type="dxa"/>
          </w:tcPr>
          <w:p w:rsidR="0098675B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Exclusiva r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esina acrílic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a</w:t>
            </w:r>
            <w:r w:rsidR="002A23D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-</w:t>
            </w:r>
            <w:r w:rsidR="0008543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poliuretánica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microparticulada</w:t>
            </w:r>
            <w:proofErr w:type="spellEnd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en dispersión acuosa,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pigmentos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orgánicos y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cargas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minerales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6F4584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Importante: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todos nuestros productos son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libres de metales pesados, alcoholes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 tensoactivos sulfó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nicos, </w:t>
            </w:r>
            <w:proofErr w:type="spellStart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carboxilados</w:t>
            </w:r>
            <w:proofErr w:type="spellEnd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y fungicidas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mercuriales</w:t>
            </w:r>
          </w:p>
          <w:p w:rsidR="0098675B" w:rsidRPr="00613DEF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lastRenderedPageBreak/>
              <w:t>Envases</w:t>
            </w:r>
          </w:p>
        </w:tc>
        <w:tc>
          <w:tcPr>
            <w:tcW w:w="7512" w:type="dxa"/>
          </w:tcPr>
          <w:p w:rsidR="006F4584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1, 4, 10, 20, 200 Litros</w:t>
            </w:r>
          </w:p>
          <w:p w:rsidR="00946F3D" w:rsidRPr="00613DEF" w:rsidRDefault="00946F3D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Rendimiento</w:t>
            </w:r>
          </w:p>
        </w:tc>
        <w:tc>
          <w:tcPr>
            <w:tcW w:w="7512" w:type="dxa"/>
          </w:tcPr>
          <w:p w:rsidR="006F4584" w:rsidRDefault="007E4346" w:rsidP="005978C6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3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a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4.5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m2/</w:t>
            </w:r>
            <w:r w:rsidR="005978C6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Lts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AE347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de trabajo terminado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 dependiendo de la superficie, el modo de aplicación y el</w:t>
            </w:r>
            <w:r w:rsid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nivel de exigencia requerido. Se recomienda aplicar </w:t>
            </w:r>
            <w:r w:rsidR="00AE347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menos de 3 manos</w:t>
            </w:r>
          </w:p>
          <w:p w:rsidR="00067ED4" w:rsidRPr="005978C6" w:rsidRDefault="00067ED4" w:rsidP="005978C6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Recomendaciones</w:t>
            </w:r>
          </w:p>
        </w:tc>
        <w:tc>
          <w:tcPr>
            <w:tcW w:w="7512" w:type="dxa"/>
          </w:tcPr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Revolver muy bien la pintura antes de utilizar.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es conveniente pintar sobre superficies calientes.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aplicar con temperaturas menores a 5º C, ni mayores a 40º C.</w:t>
            </w:r>
          </w:p>
          <w:p w:rsidR="00E06458" w:rsidRPr="00D64A8C" w:rsidRDefault="00085436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Dilución al agua (máximo 10%) para usar como primer y sellador de filtraciones, luego usar puro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entre manos 4 a 6 horas.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final 7 días.</w:t>
            </w:r>
          </w:p>
          <w:p w:rsidR="006F4584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Limpiar con agua los elementos utilizados, salpicaduras y manchas antes de que se sequen.</w:t>
            </w:r>
          </w:p>
          <w:p w:rsidR="0098675B" w:rsidRPr="00D64A8C" w:rsidRDefault="0098675B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E06458" w:rsidRPr="00D64A8C" w:rsidTr="0098675B">
        <w:tc>
          <w:tcPr>
            <w:tcW w:w="2836" w:type="dxa"/>
          </w:tcPr>
          <w:p w:rsidR="00E06458" w:rsidRPr="007016DB" w:rsidRDefault="005143AA">
            <w:pPr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Precauciones</w:t>
            </w:r>
          </w:p>
        </w:tc>
        <w:tc>
          <w:tcPr>
            <w:tcW w:w="7512" w:type="dxa"/>
          </w:tcPr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Mantener el envase cerrado fuera del alcance de los niños, animales o fuentes de calor. Utilice elementos de protección personal. En caso de contacto con la piel lavar las manos y los brazos con agua durante 15 minutos. En caso de ingestión, no provocar vómitos, beber abundante agua y consultar al Centro de Toxicología.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Nac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de Intoxicaciones 0800-333-0160 /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de Intoxicaciones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Hosp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 Posadas (011)4658-7777 / Córdoba (0351)421-5400/422-2039 / Rosario (0341)4480202 / La Plata (0221)451-5555. En caso de encontrarse violado el precinto de seguridad del envase, no proceder a la compra. No reutilizar el envase.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Se hace notar que este no es un documento de especificaciones legales, la información se brinda de buena </w:t>
            </w:r>
            <w:r w:rsidR="00613DEF"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fe</w:t>
            </w: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 y sin garantía.</w:t>
            </w:r>
          </w:p>
        </w:tc>
      </w:tr>
    </w:tbl>
    <w:p w:rsidR="006F4584" w:rsidRPr="00D64A8C" w:rsidRDefault="006F4584"/>
    <w:p w:rsidR="006F4584" w:rsidRPr="00D64A8C" w:rsidRDefault="006F4584"/>
    <w:sectPr w:rsidR="006F4584" w:rsidRPr="00D64A8C" w:rsidSect="00613DEF">
      <w:headerReference w:type="default" r:id="rId7"/>
      <w:pgSz w:w="12240" w:h="15840"/>
      <w:pgMar w:top="1417" w:right="1701" w:bottom="1417" w:left="1701" w:header="11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3E3C" w:rsidRDefault="00F53E3C" w:rsidP="00613DEF">
      <w:pPr>
        <w:spacing w:after="0" w:line="240" w:lineRule="auto"/>
      </w:pPr>
      <w:r>
        <w:separator/>
      </w:r>
    </w:p>
  </w:endnote>
  <w:endnote w:type="continuationSeparator" w:id="0">
    <w:p w:rsidR="00F53E3C" w:rsidRDefault="00F53E3C" w:rsidP="0061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GoPro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ozGo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3E3C" w:rsidRDefault="00F53E3C" w:rsidP="00613DEF">
      <w:pPr>
        <w:spacing w:after="0" w:line="240" w:lineRule="auto"/>
      </w:pPr>
      <w:r>
        <w:separator/>
      </w:r>
    </w:p>
  </w:footnote>
  <w:footnote w:type="continuationSeparator" w:id="0">
    <w:p w:rsidR="00F53E3C" w:rsidRDefault="00F53E3C" w:rsidP="0061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10510" w:type="dxa"/>
      <w:tblInd w:w="-62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E535" w:themeFill="background2" w:themeFillShade="BF"/>
      <w:tblLayout w:type="fixed"/>
      <w:tblLook w:val="04A0" w:firstRow="1" w:lastRow="0" w:firstColumn="1" w:lastColumn="0" w:noHBand="0" w:noVBand="1"/>
    </w:tblPr>
    <w:tblGrid>
      <w:gridCol w:w="4982"/>
      <w:gridCol w:w="5528"/>
    </w:tblGrid>
    <w:tr w:rsidR="007016DB" w:rsidTr="007016DB">
      <w:trPr>
        <w:trHeight w:val="2511"/>
      </w:trPr>
      <w:tc>
        <w:tcPr>
          <w:tcW w:w="4982" w:type="dxa"/>
          <w:shd w:val="clear" w:color="auto" w:fill="FFFFFF" w:themeFill="background1"/>
          <w:vAlign w:val="center"/>
        </w:tcPr>
        <w:p w:rsidR="007016DB" w:rsidRDefault="007016DB" w:rsidP="0084110E">
          <w:pPr>
            <w:pStyle w:val="Encabezado"/>
          </w:pPr>
          <w:r w:rsidRPr="00613DEF">
            <w:rPr>
              <w:noProof/>
              <w:lang w:eastAsia="es-AR" w:bidi="ar-SA"/>
            </w:rPr>
            <w:drawing>
              <wp:inline distT="0" distB="0" distL="0" distR="0">
                <wp:extent cx="2857500" cy="1228725"/>
                <wp:effectExtent l="171450" t="133350" r="361950" b="314325"/>
                <wp:docPr id="5" name="Imagen 1" descr="COLOR ZERO HORIZONTAL2-01.jpg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 Imagen" descr="COLOR ZERO HORIZONTAL2-01.jpg">
                          <a:extLst>
                            <a:ext uri="{FF2B5EF4-FFF2-40B4-BE49-F238E27FC236}">
                              <a16:creationId xmlns:a16="http://schemas.microsoft.com/office/drawing/2014/main" id="{00000000-0008-0000-0000-000002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25134" b="213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0" cy="1228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shd w:val="clear" w:color="auto" w:fill="FFFFFF" w:themeFill="background1"/>
          <w:vAlign w:val="center"/>
        </w:tcPr>
        <w:p w:rsidR="007016DB" w:rsidRPr="002018C4" w:rsidRDefault="007016DB" w:rsidP="0084110E">
          <w:pPr>
            <w:pStyle w:val="Encabezado"/>
            <w:jc w:val="center"/>
            <w:rPr>
              <w:rFonts w:ascii="Cooper Black" w:hAnsi="Cooper Black"/>
              <w:sz w:val="96"/>
              <w:szCs w:val="96"/>
            </w:rPr>
          </w:pPr>
          <w:proofErr w:type="spellStart"/>
          <w:r w:rsidRPr="002018C4">
            <w:rPr>
              <w:rFonts w:ascii="Brush Script MT" w:hAnsi="Brush Script MT"/>
              <w:b/>
              <w:color w:val="852010" w:themeColor="accent3" w:themeShade="BF"/>
              <w:sz w:val="96"/>
              <w:szCs w:val="96"/>
            </w:rPr>
            <w:t>Signature</w:t>
          </w:r>
          <w:proofErr w:type="spellEnd"/>
        </w:p>
      </w:tc>
    </w:tr>
  </w:tbl>
  <w:p w:rsidR="00613DEF" w:rsidRDefault="00613DEF" w:rsidP="00613DE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4584"/>
    <w:rsid w:val="00067ED4"/>
    <w:rsid w:val="00085436"/>
    <w:rsid w:val="001C7020"/>
    <w:rsid w:val="001F3653"/>
    <w:rsid w:val="002574B4"/>
    <w:rsid w:val="002A23D2"/>
    <w:rsid w:val="0031636E"/>
    <w:rsid w:val="003569FA"/>
    <w:rsid w:val="003904C0"/>
    <w:rsid w:val="00434833"/>
    <w:rsid w:val="00455930"/>
    <w:rsid w:val="004A27D9"/>
    <w:rsid w:val="0050162B"/>
    <w:rsid w:val="005143AA"/>
    <w:rsid w:val="00543377"/>
    <w:rsid w:val="005978C6"/>
    <w:rsid w:val="005A4420"/>
    <w:rsid w:val="005B54E3"/>
    <w:rsid w:val="00613DEF"/>
    <w:rsid w:val="00620C0E"/>
    <w:rsid w:val="006344FD"/>
    <w:rsid w:val="006B7205"/>
    <w:rsid w:val="006E4D22"/>
    <w:rsid w:val="006F4584"/>
    <w:rsid w:val="007016DB"/>
    <w:rsid w:val="007A3EC5"/>
    <w:rsid w:val="007E4346"/>
    <w:rsid w:val="00837D83"/>
    <w:rsid w:val="008D1C32"/>
    <w:rsid w:val="00927F6D"/>
    <w:rsid w:val="00946F3D"/>
    <w:rsid w:val="0098675B"/>
    <w:rsid w:val="009B2D9B"/>
    <w:rsid w:val="009F3E9E"/>
    <w:rsid w:val="00A97063"/>
    <w:rsid w:val="00AE3472"/>
    <w:rsid w:val="00B847DB"/>
    <w:rsid w:val="00C01280"/>
    <w:rsid w:val="00C14606"/>
    <w:rsid w:val="00C84A1B"/>
    <w:rsid w:val="00C94701"/>
    <w:rsid w:val="00D64A8C"/>
    <w:rsid w:val="00E06458"/>
    <w:rsid w:val="00E37C6A"/>
    <w:rsid w:val="00EB2222"/>
    <w:rsid w:val="00F43E84"/>
    <w:rsid w:val="00F53E3C"/>
    <w:rsid w:val="00FA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13DCB"/>
  <w15:docId w15:val="{9E26A7BB-8E44-4E9D-A76B-A5CA1A449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3DEF"/>
    <w:rPr>
      <w:i/>
      <w:iCs/>
      <w:sz w:val="20"/>
      <w:szCs w:val="20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613DEF"/>
    <w:pPr>
      <w:pBdr>
        <w:top w:val="single" w:sz="8" w:space="0" w:color="7598D9" w:themeColor="accent2"/>
        <w:left w:val="single" w:sz="8" w:space="0" w:color="7598D9" w:themeColor="accent2"/>
        <w:bottom w:val="single" w:sz="8" w:space="0" w:color="7598D9" w:themeColor="accent2"/>
        <w:right w:val="single" w:sz="8" w:space="0" w:color="7598D9" w:themeColor="accent2"/>
      </w:pBdr>
      <w:shd w:val="clear" w:color="auto" w:fill="E3EAF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44482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13DEF"/>
    <w:pPr>
      <w:pBdr>
        <w:top w:val="single" w:sz="4" w:space="0" w:color="7598D9" w:themeColor="accent2"/>
        <w:left w:val="single" w:sz="48" w:space="2" w:color="7598D9" w:themeColor="accent2"/>
        <w:bottom w:val="single" w:sz="4" w:space="0" w:color="7598D9" w:themeColor="accent2"/>
        <w:right w:val="single" w:sz="4" w:space="4" w:color="7598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13DEF"/>
    <w:pPr>
      <w:pBdr>
        <w:left w:val="single" w:sz="48" w:space="2" w:color="7598D9" w:themeColor="accent2"/>
        <w:bottom w:val="single" w:sz="4" w:space="0" w:color="7598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3DEF"/>
    <w:pPr>
      <w:pBdr>
        <w:left w:val="single" w:sz="4" w:space="2" w:color="7598D9" w:themeColor="accent2"/>
        <w:bottom w:val="single" w:sz="4" w:space="2" w:color="7598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13DEF"/>
    <w:pPr>
      <w:pBdr>
        <w:left w:val="dotted" w:sz="4" w:space="2" w:color="7598D9" w:themeColor="accent2"/>
        <w:bottom w:val="dotted" w:sz="4" w:space="2" w:color="7598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13DEF"/>
    <w:pPr>
      <w:pBdr>
        <w:bottom w:val="single" w:sz="4" w:space="2" w:color="C7D5E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13DEF"/>
    <w:pPr>
      <w:pBdr>
        <w:bottom w:val="dotted" w:sz="4" w:space="2" w:color="ACC1E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13DE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8D9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3DE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7598D9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45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3DEF"/>
  </w:style>
  <w:style w:type="paragraph" w:styleId="Piedepgina">
    <w:name w:val="footer"/>
    <w:basedOn w:val="Normal"/>
    <w:link w:val="PiedepginaCar"/>
    <w:uiPriority w:val="99"/>
    <w:semiHidden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13DEF"/>
  </w:style>
  <w:style w:type="paragraph" w:styleId="Textodeglobo">
    <w:name w:val="Balloon Text"/>
    <w:basedOn w:val="Normal"/>
    <w:link w:val="TextodegloboCar"/>
    <w:uiPriority w:val="99"/>
    <w:semiHidden/>
    <w:unhideWhenUsed/>
    <w:rsid w:val="0061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DE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13DEF"/>
    <w:rPr>
      <w:rFonts w:asciiTheme="majorHAnsi" w:eastAsiaTheme="majorEastAsia" w:hAnsiTheme="majorHAnsi" w:cstheme="majorBidi"/>
      <w:b/>
      <w:bCs/>
      <w:i/>
      <w:iCs/>
      <w:color w:val="244482" w:themeColor="accent2" w:themeShade="7F"/>
      <w:shd w:val="clear" w:color="auto" w:fill="E3EAF7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13DEF"/>
    <w:rPr>
      <w:b/>
      <w:bCs/>
      <w:color w:val="3667C3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13DEF"/>
    <w:pPr>
      <w:pBdr>
        <w:top w:val="single" w:sz="48" w:space="0" w:color="7598D9" w:themeColor="accent2"/>
        <w:bottom w:val="single" w:sz="48" w:space="0" w:color="7598D9" w:themeColor="accent2"/>
      </w:pBdr>
      <w:shd w:val="clear" w:color="auto" w:fill="7598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613DE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7598D9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613DEF"/>
    <w:pPr>
      <w:pBdr>
        <w:bottom w:val="dotted" w:sz="8" w:space="10" w:color="7598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44482" w:themeColor="accent2" w:themeShade="7F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13DEF"/>
    <w:rPr>
      <w:rFonts w:asciiTheme="majorHAnsi" w:eastAsiaTheme="majorEastAsia" w:hAnsiTheme="majorHAnsi" w:cstheme="majorBidi"/>
      <w:i/>
      <w:iCs/>
      <w:color w:val="244482" w:themeColor="accent2" w:themeShade="7F"/>
      <w:sz w:val="24"/>
      <w:szCs w:val="24"/>
    </w:rPr>
  </w:style>
  <w:style w:type="character" w:styleId="Textoennegrita">
    <w:name w:val="Strong"/>
    <w:uiPriority w:val="22"/>
    <w:qFormat/>
    <w:rsid w:val="00613DEF"/>
    <w:rPr>
      <w:b/>
      <w:bCs/>
      <w:spacing w:val="0"/>
    </w:rPr>
  </w:style>
  <w:style w:type="character" w:styleId="nfasis">
    <w:name w:val="Emphasis"/>
    <w:uiPriority w:val="20"/>
    <w:qFormat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bdr w:val="single" w:sz="18" w:space="0" w:color="E3EAF7" w:themeColor="accent2" w:themeTint="33"/>
      <w:shd w:val="clear" w:color="auto" w:fill="E3EAF7" w:themeFill="accent2" w:themeFillTint="33"/>
    </w:rPr>
  </w:style>
  <w:style w:type="paragraph" w:styleId="Sinespaciado">
    <w:name w:val="No Spacing"/>
    <w:basedOn w:val="Normal"/>
    <w:link w:val="SinespaciadoCar"/>
    <w:uiPriority w:val="1"/>
    <w:qFormat/>
    <w:rsid w:val="00613DE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13DEF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613DEF"/>
    <w:rPr>
      <w:i w:val="0"/>
      <w:iCs w:val="0"/>
      <w:color w:val="3667C3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613DEF"/>
    <w:rPr>
      <w:color w:val="3667C3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13DEF"/>
    <w:pPr>
      <w:pBdr>
        <w:top w:val="dotted" w:sz="8" w:space="10" w:color="7598D9" w:themeColor="accent2"/>
        <w:bottom w:val="dotted" w:sz="8" w:space="10" w:color="7598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7598D9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sz w:val="20"/>
      <w:szCs w:val="20"/>
    </w:rPr>
  </w:style>
  <w:style w:type="character" w:styleId="nfasissutil">
    <w:name w:val="Subtle Emphasis"/>
    <w:uiPriority w:val="19"/>
    <w:qFormat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styleId="nfasisintenso">
    <w:name w:val="Intense Emphasis"/>
    <w:uiPriority w:val="21"/>
    <w:qFormat/>
    <w:rsid w:val="00613DE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7598D9" w:themeColor="accent2"/>
      <w:shd w:val="clear" w:color="auto" w:fill="7598D9" w:themeFill="accent2"/>
      <w:vertAlign w:val="baseline"/>
    </w:rPr>
  </w:style>
  <w:style w:type="character" w:styleId="Referenciasutil">
    <w:name w:val="Subtle Reference"/>
    <w:uiPriority w:val="31"/>
    <w:qFormat/>
    <w:rsid w:val="00613DEF"/>
    <w:rPr>
      <w:i/>
      <w:iCs/>
      <w:smallCaps/>
      <w:color w:val="7598D9" w:themeColor="accent2"/>
      <w:u w:color="7598D9" w:themeColor="accent2"/>
    </w:rPr>
  </w:style>
  <w:style w:type="character" w:styleId="Referenciaintensa">
    <w:name w:val="Intense Reference"/>
    <w:uiPriority w:val="32"/>
    <w:qFormat/>
    <w:rsid w:val="00613DEF"/>
    <w:rPr>
      <w:b/>
      <w:bCs/>
      <w:i/>
      <w:iCs/>
      <w:smallCaps/>
      <w:color w:val="7598D9" w:themeColor="accent2"/>
      <w:u w:color="7598D9" w:themeColor="accent2"/>
    </w:rPr>
  </w:style>
  <w:style w:type="character" w:styleId="Ttulodellibro">
    <w:name w:val="Book Title"/>
    <w:uiPriority w:val="33"/>
    <w:qFormat/>
    <w:rsid w:val="00613DEF"/>
    <w:rPr>
      <w:rFonts w:asciiTheme="majorHAnsi" w:eastAsiaTheme="majorEastAsia" w:hAnsiTheme="majorHAnsi" w:cstheme="majorBidi"/>
      <w:b/>
      <w:bCs/>
      <w:i/>
      <w:iCs/>
      <w:smallCaps/>
      <w:color w:val="3667C3" w:themeColor="accent2" w:themeShade="BF"/>
      <w:u w:val="single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13DEF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613DEF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Mirador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Concurrencia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21C3F-B61E-44C9-BE40-4EB6F0359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licab</cp:lastModifiedBy>
  <cp:revision>2</cp:revision>
  <dcterms:created xsi:type="dcterms:W3CDTF">2018-05-21T22:39:00Z</dcterms:created>
  <dcterms:modified xsi:type="dcterms:W3CDTF">2018-05-21T22:39:00Z</dcterms:modified>
</cp:coreProperties>
</file>