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6"/>
        <w:gridCol w:w="7512"/>
      </w:tblGrid>
      <w:tr w:rsidR="006F4584" w:rsidTr="0098675B">
        <w:tc>
          <w:tcPr>
            <w:tcW w:w="2836" w:type="dxa"/>
          </w:tcPr>
          <w:p w:rsidR="006F4584" w:rsidRPr="007016DB" w:rsidRDefault="00613DEF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Producto</w:t>
            </w:r>
          </w:p>
        </w:tc>
        <w:tc>
          <w:tcPr>
            <w:tcW w:w="7512" w:type="dxa"/>
          </w:tcPr>
          <w:p w:rsidR="006F4584" w:rsidRPr="00613DEF" w:rsidRDefault="004D2159" w:rsidP="004A27D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Manta para techos</w:t>
            </w:r>
            <w:r w:rsidR="001F3653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946F3D" w:rsidRPr="00946F3D">
              <w:rPr>
                <w:rFonts w:ascii="Brush Script MT" w:eastAsia="KozGoPro-Regular" w:hAnsi="Brush Script MT" w:cs="Times New Roman"/>
                <w:b/>
                <w:i w:val="0"/>
                <w:sz w:val="40"/>
                <w:szCs w:val="40"/>
              </w:rPr>
              <w:t>Signature</w:t>
            </w:r>
            <w:proofErr w:type="spellEnd"/>
            <w:r w:rsidR="00946F3D">
              <w:rPr>
                <w:rFonts w:ascii="Brush Script MT" w:eastAsia="KozGoPro-Regular" w:hAnsi="Brush Script MT" w:cs="Times New Roman"/>
                <w:b/>
                <w:i w:val="0"/>
                <w:sz w:val="40"/>
                <w:szCs w:val="40"/>
              </w:rPr>
              <w:t xml:space="preserve"> </w:t>
            </w: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  <w:p w:rsidR="006F4584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Generales</w:t>
            </w:r>
          </w:p>
        </w:tc>
        <w:tc>
          <w:tcPr>
            <w:tcW w:w="7512" w:type="dxa"/>
          </w:tcPr>
          <w:p w:rsidR="006E4D22" w:rsidRDefault="004D2159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Manta</w:t>
            </w:r>
            <w:r w:rsidR="006E4D22"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para </w:t>
            </w:r>
            <w:r w:rsid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Techos</w:t>
            </w:r>
            <w:r w:rsidR="006E4D22"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, de alta</w:t>
            </w:r>
            <w:r w:rsidR="007E434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="006E4D22"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tecnología (acrílico-poliuretano) con gran durabilidad y ecológica</w:t>
            </w:r>
            <w:r w:rsid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="006E4D22"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que </w:t>
            </w:r>
            <w:r w:rsid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la hace amigable </w:t>
            </w:r>
            <w:r w:rsidR="006E4D22"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con el medio ambiente.</w:t>
            </w:r>
          </w:p>
          <w:p w:rsidR="0098675B" w:rsidRDefault="004D2159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4D2159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lang w:bidi="ar-SA"/>
              </w:rPr>
              <w:t>Es una Manta</w:t>
            </w:r>
            <w:r w:rsidR="006E4D22"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líquida </w:t>
            </w:r>
            <w:r w:rsid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capaz de repeler el agua</w:t>
            </w:r>
            <w:r w:rsidR="006E4D22"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en</w:t>
            </w:r>
            <w:r w:rsidR="006E4D22"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base en tecnología</w:t>
            </w:r>
            <w:r w:rsid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combinadas de sus resinas</w:t>
            </w:r>
            <w:r w:rsidR="006E4D22"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acrílico-poliuretano </w:t>
            </w:r>
            <w:r w:rsid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de desarrollo exclusivo de </w:t>
            </w:r>
            <w:r w:rsidR="006E4D22" w:rsidRPr="006E4D22">
              <w:rPr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lang w:bidi="ar-SA"/>
              </w:rPr>
              <w:t>Color Zero</w:t>
            </w:r>
            <w:r w:rsid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, y que le confiere </w:t>
            </w:r>
            <w:r w:rsidR="006E4D22"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gran durabilidad,</w:t>
            </w:r>
            <w:r w:rsid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alta elasticidad e </w:t>
            </w:r>
            <w:proofErr w:type="spellStart"/>
            <w:r w:rsid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hidrorrepelencia</w:t>
            </w:r>
            <w:proofErr w:type="spellEnd"/>
            <w:r w:rsid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, para impermeabilizar techos</w:t>
            </w:r>
            <w:r w:rsidR="006E4D22"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y terrazas</w:t>
            </w:r>
            <w:r w:rsid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.</w:t>
            </w:r>
          </w:p>
          <w:p w:rsidR="004D2159" w:rsidRPr="006E4D22" w:rsidRDefault="004D2159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</w:p>
        </w:tc>
      </w:tr>
      <w:tr w:rsidR="005143AA" w:rsidRPr="00D64A8C" w:rsidTr="0098675B">
        <w:tc>
          <w:tcPr>
            <w:tcW w:w="2836" w:type="dxa"/>
          </w:tcPr>
          <w:p w:rsidR="005143AA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Usos</w:t>
            </w:r>
          </w:p>
        </w:tc>
        <w:tc>
          <w:tcPr>
            <w:tcW w:w="7512" w:type="dxa"/>
          </w:tcPr>
          <w:p w:rsidR="005143AA" w:rsidRDefault="00946F3D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Diseñado para ser aplicado exclusivamente en </w:t>
            </w:r>
            <w:r w:rsidR="0098675B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teriores</w:t>
            </w:r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Posee excelente adherencia sobre superficies de revoque, </w:t>
            </w:r>
            <w:proofErr w:type="spellStart"/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enduído</w:t>
            </w:r>
            <w:proofErr w:type="spellEnd"/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cemento, </w:t>
            </w:r>
            <w:r w:rsidR="006E4D2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baldosas</w:t>
            </w:r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etc.</w:t>
            </w:r>
          </w:p>
          <w:p w:rsidR="0098675B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La tecnología de </w:t>
            </w:r>
            <w:proofErr w:type="spellStart"/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micropolimeros</w:t>
            </w:r>
            <w:proofErr w:type="spellEnd"/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="00F87E78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le </w:t>
            </w:r>
            <w:r w:rsidR="00F87E78"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otorga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este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gran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recubrimiento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propiedades de alta 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durabilidad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la intemperie</w:t>
            </w:r>
            <w:r w:rsidR="002574B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y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excepcional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rendimiento,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</w:p>
          <w:p w:rsidR="0098675B" w:rsidRPr="005978C6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Posee un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excelente</w:t>
            </w:r>
            <w:r w:rsidR="006E4D2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poder impermeabilizante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</w:p>
          <w:p w:rsidR="0098675B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Con un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acabado terso al tacto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98675B" w:rsidRPr="005143AA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5143AA" w:rsidRPr="005143AA" w:rsidTr="0098675B">
        <w:tc>
          <w:tcPr>
            <w:tcW w:w="2836" w:type="dxa"/>
          </w:tcPr>
          <w:p w:rsidR="005143AA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Colores disponibles</w:t>
            </w:r>
          </w:p>
        </w:tc>
        <w:tc>
          <w:tcPr>
            <w:tcW w:w="7512" w:type="dxa"/>
          </w:tcPr>
          <w:p w:rsidR="005143AA" w:rsidRDefault="00F87E78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Blanco,</w:t>
            </w:r>
            <w:r w:rsidR="006E4D2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Rojo y Verde</w:t>
            </w:r>
          </w:p>
          <w:p w:rsidR="0098675B" w:rsidRPr="005143AA" w:rsidRDefault="0098675B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Preparación de la superficie</w:t>
            </w:r>
          </w:p>
        </w:tc>
        <w:tc>
          <w:tcPr>
            <w:tcW w:w="7512" w:type="dxa"/>
          </w:tcPr>
          <w:p w:rsidR="006E4D22" w:rsidRPr="006E4D22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La superfi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cie debe estar seca, sana y limpia, libre de polvo, lechadas de cemento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o mortero, grasa o material que impida la adherencia del producto. En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algunos sustratos cementici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os es conveniente retirar por medios mecánicos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la capa superfi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cial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cuando se presentan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situaciones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de </w:t>
            </w:r>
            <w:r w:rsidR="00F87E78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descascaramiento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o superficies flojas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. En superficies metálicas o de concreto contaminadas con grasa se recomienda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, recomienda eliminarla antes de seguir con la aplicación del producto No aplicar este producto sobre grietas mayores a </w:t>
            </w:r>
            <w:r w:rsidR="007E434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1.5 mm de apertura</w:t>
            </w:r>
          </w:p>
          <w:p w:rsidR="006E4D22" w:rsidRPr="006E4D22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El sustrato debe tener la pendiente adecuada y estar sin depresiones que den</w:t>
            </w:r>
            <w:r w:rsidR="007E434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lugar a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que el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agua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se quede por tiempos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prolongados o permanentes. La humedad de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la superfi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cie debe ser menor al 6% antes de 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plicar el producto.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La </w:t>
            </w:r>
            <w:r w:rsidR="004D2159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bidi="ar-SA"/>
              </w:rPr>
              <w:t>Manta</w:t>
            </w:r>
            <w:r w:rsidR="002A23D2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proofErr w:type="spellStart"/>
            <w:r w:rsidR="002A23D2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bidi="ar-SA"/>
              </w:rPr>
              <w:t>Signature</w:t>
            </w:r>
            <w:proofErr w:type="spellEnd"/>
            <w:r w:rsidRPr="006E4D22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se puede apli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car sobre mortero, concreto, fi</w:t>
            </w:r>
            <w:r w:rsidR="0008543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bro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cemento, ladrillo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de arcilla, piedras naturales, cerámicas, metales (zinc), madera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y pinturas existentes. Antes de aplicar el producto es importante retirar el material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suelto o degradado del sustrato.</w:t>
            </w:r>
          </w:p>
          <w:p w:rsidR="006E4D22" w:rsidRPr="006E4D22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En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cerámicas o materiales vitrifi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cados se debe 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lijar hasta obtener una superfi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cie</w:t>
            </w:r>
            <w:r w:rsidR="002A23D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rugosa antes de pintar.</w:t>
            </w:r>
          </w:p>
          <w:p w:rsidR="0098675B" w:rsidRDefault="006E4D22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6E4D22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Los mantos asfálticos se deben retirar en su totalidad antes de aplicar el producto.</w:t>
            </w:r>
          </w:p>
          <w:p w:rsidR="00F87E78" w:rsidRPr="002A23D2" w:rsidRDefault="00F87E78" w:rsidP="006E4D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bookmarkStart w:id="0" w:name="_GoBack"/>
            <w:bookmarkEnd w:id="0"/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Aplicación</w:t>
            </w:r>
          </w:p>
        </w:tc>
        <w:tc>
          <w:tcPr>
            <w:tcW w:w="7512" w:type="dxa"/>
          </w:tcPr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A pincel, rodillo o soplete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airless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2A23D2" w:rsidRPr="00D64A8C" w:rsidRDefault="002A23D2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Composición</w:t>
            </w:r>
          </w:p>
        </w:tc>
        <w:tc>
          <w:tcPr>
            <w:tcW w:w="7512" w:type="dxa"/>
          </w:tcPr>
          <w:p w:rsidR="0098675B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Exclusiva r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esina acrílic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</w:t>
            </w:r>
            <w:r w:rsidR="002A23D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-</w:t>
            </w:r>
            <w:proofErr w:type="spellStart"/>
            <w:r w:rsidR="0008543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poliuretánica</w:t>
            </w:r>
            <w:proofErr w:type="spellEnd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microparticulada</w:t>
            </w:r>
            <w:proofErr w:type="spellEnd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en dispersión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lastRenderedPageBreak/>
              <w:t xml:space="preserve">acuosa,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pigmentos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orgánicos y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cargas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minerales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6F4584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Importante: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todos nuestros productos son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libres de metales pesados, alcoholes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tensoactivos</w:t>
            </w:r>
            <w:proofErr w:type="spellEnd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sulfó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nicos</w:t>
            </w:r>
            <w:proofErr w:type="spellEnd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carboxilados</w:t>
            </w:r>
            <w:proofErr w:type="spellEnd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y fungicidas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mercuriales</w:t>
            </w:r>
          </w:p>
          <w:p w:rsidR="0098675B" w:rsidRPr="00613DEF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lastRenderedPageBreak/>
              <w:t>Envases</w:t>
            </w:r>
          </w:p>
        </w:tc>
        <w:tc>
          <w:tcPr>
            <w:tcW w:w="7512" w:type="dxa"/>
          </w:tcPr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1, 4, 10, 20, 200 Litros</w:t>
            </w:r>
          </w:p>
          <w:p w:rsidR="00946F3D" w:rsidRPr="00613DEF" w:rsidRDefault="00946F3D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Rendimiento</w:t>
            </w:r>
          </w:p>
        </w:tc>
        <w:tc>
          <w:tcPr>
            <w:tcW w:w="7512" w:type="dxa"/>
          </w:tcPr>
          <w:p w:rsidR="006F4584" w:rsidRDefault="007E4346" w:rsidP="005978C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3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4.5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m2/</w:t>
            </w:r>
            <w:r w:rsidR="005978C6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Lts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AE347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 trabajo terminado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dependiendo de la superficie, el modo de aplicación y el</w:t>
            </w:r>
            <w:r w:rsid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E06458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nivel de exigencia requerido. Se recomienda aplicar </w:t>
            </w:r>
            <w:r w:rsidR="00AE347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menos de 3 manos</w:t>
            </w:r>
          </w:p>
          <w:p w:rsidR="00067ED4" w:rsidRPr="005978C6" w:rsidRDefault="00067ED4" w:rsidP="005978C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Recomendaciones</w:t>
            </w:r>
          </w:p>
        </w:tc>
        <w:tc>
          <w:tcPr>
            <w:tcW w:w="7512" w:type="dxa"/>
          </w:tcPr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Revolver muy bien la pintura antes de utilizar.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es conveniente pintar sobre superficies calientes.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aplicar con temperaturas menores a 5º C, ni mayores a 40º C.</w:t>
            </w:r>
          </w:p>
          <w:p w:rsidR="00E06458" w:rsidRPr="00D64A8C" w:rsidRDefault="00085436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Dilución al agua (máximo 10%) para usar como primer y sellador de filtraciones, luego usar puro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entre manos 4 a 6 horas.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final 7 días.</w:t>
            </w:r>
          </w:p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Limpiar con agua los elementos utilizados, salpicaduras y manchas antes de que se sequen.</w:t>
            </w:r>
          </w:p>
          <w:p w:rsidR="0098675B" w:rsidRPr="00D64A8C" w:rsidRDefault="0098675B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E06458" w:rsidRPr="00D64A8C" w:rsidTr="0098675B">
        <w:tc>
          <w:tcPr>
            <w:tcW w:w="2836" w:type="dxa"/>
          </w:tcPr>
          <w:p w:rsidR="00E06458" w:rsidRPr="007016DB" w:rsidRDefault="005143AA">
            <w:pPr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Precauciones</w:t>
            </w:r>
          </w:p>
        </w:tc>
        <w:tc>
          <w:tcPr>
            <w:tcW w:w="7512" w:type="dxa"/>
          </w:tcPr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Mantener el envase cerrado fuera del alcance de los niños, animales o fuentes de calor. Utilice elementos de protección personal. En caso de contacto con la piel lavar las manos y los brazos con agua durante 15 minutos. En caso de ingestión, no provocar vómitos, beber abundante agua y consultar al Centro de Toxicología.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Nac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de Intoxicaciones 0800-333-0160 /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de Intoxicaciones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Hosp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 Posadas (011)4658-7777 / Córdoba (0351)421-5400/422-2039 / Rosario (0341)4480202 / La Plata (0221)451-5555. En caso de encontrarse violado el precinto de seguridad del envase, no proceder a la compra. No reutilizar el envase.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Se hace notar que este no es un documento de especificaciones legales, la información se brinda de buena </w:t>
            </w:r>
            <w:r w:rsidR="00613DEF"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fe</w:t>
            </w: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 y sin garantía.</w:t>
            </w:r>
          </w:p>
        </w:tc>
      </w:tr>
    </w:tbl>
    <w:p w:rsidR="006F4584" w:rsidRPr="00D64A8C" w:rsidRDefault="006F4584"/>
    <w:p w:rsidR="006F4584" w:rsidRPr="00D64A8C" w:rsidRDefault="006F4584"/>
    <w:sectPr w:rsidR="006F4584" w:rsidRPr="00D64A8C" w:rsidSect="00613DEF">
      <w:headerReference w:type="default" r:id="rId7"/>
      <w:pgSz w:w="12240" w:h="15840"/>
      <w:pgMar w:top="1417" w:right="1701" w:bottom="1417" w:left="1701" w:header="113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B4F" w:rsidRDefault="00334B4F" w:rsidP="00613DEF">
      <w:pPr>
        <w:spacing w:after="0" w:line="240" w:lineRule="auto"/>
      </w:pPr>
      <w:r>
        <w:separator/>
      </w:r>
    </w:p>
  </w:endnote>
  <w:endnote w:type="continuationSeparator" w:id="0">
    <w:p w:rsidR="00334B4F" w:rsidRDefault="00334B4F" w:rsidP="006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Go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rush Script MT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Cooper Black">
    <w:altName w:val="Nyala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B4F" w:rsidRDefault="00334B4F" w:rsidP="00613DEF">
      <w:pPr>
        <w:spacing w:after="0" w:line="240" w:lineRule="auto"/>
      </w:pPr>
      <w:r>
        <w:separator/>
      </w:r>
    </w:p>
  </w:footnote>
  <w:footnote w:type="continuationSeparator" w:id="0">
    <w:p w:rsidR="00334B4F" w:rsidRDefault="00334B4F" w:rsidP="0061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10510" w:type="dxa"/>
      <w:tblInd w:w="-6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E535" w:themeFill="background2" w:themeFillShade="BF"/>
      <w:tblLayout w:type="fixed"/>
      <w:tblLook w:val="04A0"/>
    </w:tblPr>
    <w:tblGrid>
      <w:gridCol w:w="4982"/>
      <w:gridCol w:w="5528"/>
    </w:tblGrid>
    <w:tr w:rsidR="007016DB" w:rsidTr="007016DB">
      <w:trPr>
        <w:trHeight w:val="2511"/>
      </w:trPr>
      <w:tc>
        <w:tcPr>
          <w:tcW w:w="4982" w:type="dxa"/>
          <w:shd w:val="clear" w:color="auto" w:fill="FFFFFF" w:themeFill="background1"/>
          <w:vAlign w:val="center"/>
        </w:tcPr>
        <w:p w:rsidR="007016DB" w:rsidRDefault="007016DB" w:rsidP="0084110E">
          <w:pPr>
            <w:pStyle w:val="Encabezado"/>
          </w:pPr>
          <w:r w:rsidRPr="00613DEF">
            <w:rPr>
              <w:noProof/>
              <w:lang w:eastAsia="es-AR" w:bidi="ar-SA"/>
            </w:rPr>
            <w:drawing>
              <wp:inline distT="0" distB="0" distL="0" distR="0">
                <wp:extent cx="2857500" cy="1228725"/>
                <wp:effectExtent l="171450" t="133350" r="361950" b="314325"/>
                <wp:docPr id="5" name="Imagen 1" descr="COLOR ZERO HORIZONTAL2-01.jpg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 descr="COLOR ZERO HORIZONTAL2-01.jpg">
                          <a:extLst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5134" b="213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FFFFFF" w:themeFill="background1"/>
          <w:vAlign w:val="center"/>
        </w:tcPr>
        <w:p w:rsidR="007016DB" w:rsidRPr="002018C4" w:rsidRDefault="007016DB" w:rsidP="0084110E">
          <w:pPr>
            <w:pStyle w:val="Encabezado"/>
            <w:jc w:val="center"/>
            <w:rPr>
              <w:rFonts w:ascii="Cooper Black" w:hAnsi="Cooper Black"/>
              <w:sz w:val="96"/>
              <w:szCs w:val="96"/>
            </w:rPr>
          </w:pPr>
          <w:r w:rsidRPr="002018C4">
            <w:rPr>
              <w:rFonts w:ascii="Brush Script MT" w:hAnsi="Brush Script MT"/>
              <w:b/>
              <w:color w:val="852010" w:themeColor="accent3" w:themeShade="BF"/>
              <w:sz w:val="96"/>
              <w:szCs w:val="96"/>
            </w:rPr>
            <w:t>Signature</w:t>
          </w:r>
        </w:p>
      </w:tc>
    </w:tr>
  </w:tbl>
  <w:p w:rsidR="00613DEF" w:rsidRDefault="00613DEF" w:rsidP="00613DEF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F4584"/>
    <w:rsid w:val="00067ED4"/>
    <w:rsid w:val="00085436"/>
    <w:rsid w:val="001C7020"/>
    <w:rsid w:val="001F3653"/>
    <w:rsid w:val="002574B4"/>
    <w:rsid w:val="002A23D2"/>
    <w:rsid w:val="0031636E"/>
    <w:rsid w:val="00334B4F"/>
    <w:rsid w:val="003569FA"/>
    <w:rsid w:val="003904C0"/>
    <w:rsid w:val="00434833"/>
    <w:rsid w:val="00455930"/>
    <w:rsid w:val="00466163"/>
    <w:rsid w:val="004A27D9"/>
    <w:rsid w:val="004D2159"/>
    <w:rsid w:val="0050162B"/>
    <w:rsid w:val="005143AA"/>
    <w:rsid w:val="00543377"/>
    <w:rsid w:val="005978C6"/>
    <w:rsid w:val="005A4420"/>
    <w:rsid w:val="005B54E3"/>
    <w:rsid w:val="00613DEF"/>
    <w:rsid w:val="00620C0E"/>
    <w:rsid w:val="006344FD"/>
    <w:rsid w:val="006E4D22"/>
    <w:rsid w:val="006F4584"/>
    <w:rsid w:val="007016DB"/>
    <w:rsid w:val="007A3EC5"/>
    <w:rsid w:val="007E4346"/>
    <w:rsid w:val="00837D83"/>
    <w:rsid w:val="008D1C32"/>
    <w:rsid w:val="00927F6D"/>
    <w:rsid w:val="00946F3D"/>
    <w:rsid w:val="0098675B"/>
    <w:rsid w:val="009B2D9B"/>
    <w:rsid w:val="009F3E9E"/>
    <w:rsid w:val="00A97063"/>
    <w:rsid w:val="00AE3472"/>
    <w:rsid w:val="00B847DB"/>
    <w:rsid w:val="00C01280"/>
    <w:rsid w:val="00C14606"/>
    <w:rsid w:val="00C84A1B"/>
    <w:rsid w:val="00C94701"/>
    <w:rsid w:val="00D57041"/>
    <w:rsid w:val="00D64A8C"/>
    <w:rsid w:val="00E06458"/>
    <w:rsid w:val="00E37C6A"/>
    <w:rsid w:val="00EB2222"/>
    <w:rsid w:val="00F43E84"/>
    <w:rsid w:val="00F87E78"/>
    <w:rsid w:val="00FA4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DEF"/>
    <w:rPr>
      <w:i/>
      <w:iCs/>
      <w:sz w:val="20"/>
      <w:szCs w:val="20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13DEF"/>
    <w:pPr>
      <w:pBdr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</w:pBdr>
      <w:shd w:val="clear" w:color="auto" w:fill="E3EAF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4482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DEF"/>
    <w:pPr>
      <w:pBdr>
        <w:top w:val="single" w:sz="4" w:space="0" w:color="7598D9" w:themeColor="accent2"/>
        <w:left w:val="single" w:sz="48" w:space="2" w:color="7598D9" w:themeColor="accent2"/>
        <w:bottom w:val="single" w:sz="4" w:space="0" w:color="7598D9" w:themeColor="accent2"/>
        <w:right w:val="single" w:sz="4" w:space="4" w:color="7598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DEF"/>
    <w:pPr>
      <w:pBdr>
        <w:left w:val="single" w:sz="48" w:space="2" w:color="7598D9" w:themeColor="accent2"/>
        <w:bottom w:val="single" w:sz="4" w:space="0" w:color="7598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3DEF"/>
    <w:pPr>
      <w:pBdr>
        <w:left w:val="single" w:sz="4" w:space="2" w:color="7598D9" w:themeColor="accent2"/>
        <w:bottom w:val="single" w:sz="4" w:space="2" w:color="7598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3DEF"/>
    <w:pPr>
      <w:pBdr>
        <w:left w:val="dotted" w:sz="4" w:space="2" w:color="7598D9" w:themeColor="accent2"/>
        <w:bottom w:val="dotted" w:sz="4" w:space="2" w:color="7598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3DEF"/>
    <w:pPr>
      <w:pBdr>
        <w:bottom w:val="single" w:sz="4" w:space="2" w:color="C7D5E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3DEF"/>
    <w:pPr>
      <w:pBdr>
        <w:bottom w:val="dotted" w:sz="4" w:space="2" w:color="ACC1E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3DE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8D9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3DE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598D9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45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DEF"/>
  </w:style>
  <w:style w:type="paragraph" w:styleId="Piedepgina">
    <w:name w:val="footer"/>
    <w:basedOn w:val="Normal"/>
    <w:link w:val="PiedepginaCar"/>
    <w:uiPriority w:val="99"/>
    <w:semiHidden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3DEF"/>
  </w:style>
  <w:style w:type="paragraph" w:styleId="Textodeglobo">
    <w:name w:val="Balloon Text"/>
    <w:basedOn w:val="Normal"/>
    <w:link w:val="TextodegloboCar"/>
    <w:uiPriority w:val="99"/>
    <w:semiHidden/>
    <w:unhideWhenUsed/>
    <w:rsid w:val="0061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D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3DEF"/>
    <w:rPr>
      <w:rFonts w:asciiTheme="majorHAnsi" w:eastAsiaTheme="majorEastAsia" w:hAnsiTheme="majorHAnsi" w:cstheme="majorBidi"/>
      <w:b/>
      <w:bCs/>
      <w:i/>
      <w:iCs/>
      <w:color w:val="244482" w:themeColor="accent2" w:themeShade="7F"/>
      <w:shd w:val="clear" w:color="auto" w:fill="E3EAF7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613DEF"/>
    <w:rPr>
      <w:b/>
      <w:bCs/>
      <w:color w:val="3667C3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13DEF"/>
    <w:pPr>
      <w:pBdr>
        <w:top w:val="single" w:sz="48" w:space="0" w:color="7598D9" w:themeColor="accent2"/>
        <w:bottom w:val="single" w:sz="48" w:space="0" w:color="7598D9" w:themeColor="accent2"/>
      </w:pBdr>
      <w:shd w:val="clear" w:color="auto" w:fill="7598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613DE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598D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613DEF"/>
    <w:pPr>
      <w:pBdr>
        <w:bottom w:val="dotted" w:sz="8" w:space="10" w:color="7598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4482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13DEF"/>
    <w:rPr>
      <w:rFonts w:asciiTheme="majorHAnsi" w:eastAsiaTheme="majorEastAsia" w:hAnsiTheme="majorHAnsi" w:cstheme="majorBidi"/>
      <w:i/>
      <w:iCs/>
      <w:color w:val="244482" w:themeColor="accent2" w:themeShade="7F"/>
      <w:sz w:val="24"/>
      <w:szCs w:val="24"/>
    </w:rPr>
  </w:style>
  <w:style w:type="character" w:styleId="Textoennegrita">
    <w:name w:val="Strong"/>
    <w:uiPriority w:val="22"/>
    <w:qFormat/>
    <w:rsid w:val="00613DEF"/>
    <w:rPr>
      <w:b/>
      <w:bCs/>
      <w:spacing w:val="0"/>
    </w:rPr>
  </w:style>
  <w:style w:type="character" w:styleId="nfasis">
    <w:name w:val="Emphasis"/>
    <w:uiPriority w:val="20"/>
    <w:qFormat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bdr w:val="single" w:sz="18" w:space="0" w:color="E3EAF7" w:themeColor="accent2" w:themeTint="33"/>
      <w:shd w:val="clear" w:color="auto" w:fill="E3EAF7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613DE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13DE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13DEF"/>
    <w:rPr>
      <w:i w:val="0"/>
      <w:iCs w:val="0"/>
      <w:color w:val="3667C3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613DEF"/>
    <w:rPr>
      <w:color w:val="3667C3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3DEF"/>
    <w:pPr>
      <w:pBdr>
        <w:top w:val="dotted" w:sz="8" w:space="10" w:color="7598D9" w:themeColor="accent2"/>
        <w:bottom w:val="dotted" w:sz="8" w:space="10" w:color="7598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598D9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sz w:val="20"/>
      <w:szCs w:val="20"/>
    </w:rPr>
  </w:style>
  <w:style w:type="character" w:styleId="nfasissutil">
    <w:name w:val="Subtle Emphasis"/>
    <w:uiPriority w:val="19"/>
    <w:qFormat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styleId="nfasisintenso">
    <w:name w:val="Intense Emphasis"/>
    <w:uiPriority w:val="21"/>
    <w:qFormat/>
    <w:rsid w:val="00613DE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598D9" w:themeColor="accent2"/>
      <w:shd w:val="clear" w:color="auto" w:fill="7598D9" w:themeFill="accent2"/>
      <w:vertAlign w:val="baseline"/>
    </w:rPr>
  </w:style>
  <w:style w:type="character" w:styleId="Referenciasutil">
    <w:name w:val="Subtle Reference"/>
    <w:uiPriority w:val="31"/>
    <w:qFormat/>
    <w:rsid w:val="00613DEF"/>
    <w:rPr>
      <w:i/>
      <w:iCs/>
      <w:smallCaps/>
      <w:color w:val="7598D9" w:themeColor="accent2"/>
      <w:u w:color="7598D9" w:themeColor="accent2"/>
    </w:rPr>
  </w:style>
  <w:style w:type="character" w:styleId="Referenciaintensa">
    <w:name w:val="Intense Reference"/>
    <w:uiPriority w:val="32"/>
    <w:qFormat/>
    <w:rsid w:val="00613DEF"/>
    <w:rPr>
      <w:b/>
      <w:bCs/>
      <w:i/>
      <w:iCs/>
      <w:smallCaps/>
      <w:color w:val="7598D9" w:themeColor="accent2"/>
      <w:u w:color="7598D9" w:themeColor="accent2"/>
    </w:rPr>
  </w:style>
  <w:style w:type="character" w:styleId="Ttulodellibro">
    <w:name w:val="Book Title"/>
    <w:uiPriority w:val="33"/>
    <w:qFormat/>
    <w:rsid w:val="00613DEF"/>
    <w:rPr>
      <w:rFonts w:asciiTheme="majorHAnsi" w:eastAsiaTheme="majorEastAsia" w:hAnsiTheme="majorHAnsi" w:cstheme="majorBidi"/>
      <w:b/>
      <w:bCs/>
      <w:i/>
      <w:iCs/>
      <w:smallCaps/>
      <w:color w:val="3667C3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13DEF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3DEF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Mirador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ncurrencia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97E09-A9DA-4978-8921-8DC00D979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594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6</cp:revision>
  <dcterms:created xsi:type="dcterms:W3CDTF">2017-03-07T19:14:00Z</dcterms:created>
  <dcterms:modified xsi:type="dcterms:W3CDTF">2018-08-24T17:39:00Z</dcterms:modified>
</cp:coreProperties>
</file>