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6"/>
        <w:gridCol w:w="7512"/>
      </w:tblGrid>
      <w:tr w:rsidR="006F4584" w:rsidTr="00D01029">
        <w:tc>
          <w:tcPr>
            <w:tcW w:w="2836" w:type="dxa"/>
          </w:tcPr>
          <w:p w:rsidR="006F4584" w:rsidRPr="00CC6299" w:rsidRDefault="00613DEF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Producto</w:t>
            </w:r>
          </w:p>
        </w:tc>
        <w:tc>
          <w:tcPr>
            <w:tcW w:w="7512" w:type="dxa"/>
            <w:vAlign w:val="center"/>
          </w:tcPr>
          <w:p w:rsidR="006F4584" w:rsidRDefault="009E2D8D" w:rsidP="00CC6299">
            <w:pPr>
              <w:autoSpaceDE w:val="0"/>
              <w:autoSpaceDN w:val="0"/>
              <w:adjustRightInd w:val="0"/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Esmalte</w:t>
            </w:r>
            <w:r w:rsidR="00BE6E5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anticorrosivo estructural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613DEF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4F3E1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A23FF2"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  <w:t>Brillocrin</w:t>
            </w:r>
            <w:r w:rsidR="00613DEF" w:rsidRPr="009B2D9B"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  <w:t xml:space="preserve"> </w:t>
            </w:r>
          </w:p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6A1BEF" w:rsidRPr="00613DEF" w:rsidRDefault="006A1BEF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01029">
        <w:tc>
          <w:tcPr>
            <w:tcW w:w="2836" w:type="dxa"/>
          </w:tcPr>
          <w:p w:rsidR="006F4584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Características</w:t>
            </w:r>
          </w:p>
          <w:p w:rsidR="006F4584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Generales</w:t>
            </w:r>
          </w:p>
        </w:tc>
        <w:tc>
          <w:tcPr>
            <w:tcW w:w="7512" w:type="dxa"/>
            <w:vAlign w:val="center"/>
          </w:tcPr>
          <w:p w:rsidR="00BE6E5C" w:rsidRPr="00BE6E5C" w:rsidRDefault="00BE6E5C" w:rsidP="00BE6E5C">
            <w:pPr>
              <w:spacing w:line="0" w:lineRule="atLeast"/>
              <w:jc w:val="both"/>
              <w:rPr>
                <w:rFonts w:ascii="Times New Roman" w:eastAsia="Symbol" w:hAnsi="Times New Roman" w:cs="Times New Roman"/>
                <w:i w:val="0"/>
                <w:sz w:val="24"/>
                <w:szCs w:val="24"/>
              </w:rPr>
            </w:pPr>
            <w:r w:rsidRPr="00BE6E5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Esmalte anticorrosivo estructural   </w:t>
            </w:r>
            <w:r w:rsidRPr="00BE6E5C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Brillocrin </w:t>
            </w:r>
            <w:r w:rsidR="00CE1A89" w:rsidRPr="00BE6E5C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es un </w:t>
            </w:r>
            <w:r w:rsidRPr="00BE6E5C"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  <w:t>esmalte sintético a base de resinas alquídicas que permite lijar suavemente, contiene pigmentos anticorrosivos y da un hermoso acabado brillante. Diseñado para preparar, proteger y decorar en un solo paso, con excelente adherencia y durabilidad. Por su formulación es inhibidor de óxido, porque convierte el óxido en productos químicamente estable además proporciona una protección anticorrosiva frente a futuras agresiones. No precisa fondos previos (a excepción de metales no ferrosos).</w:t>
            </w:r>
          </w:p>
          <w:p w:rsidR="00BE6E5C" w:rsidRPr="00BE6E5C" w:rsidRDefault="00BE6E5C" w:rsidP="00BE6E5C">
            <w:pPr>
              <w:spacing w:line="14" w:lineRule="exact"/>
              <w:rPr>
                <w:rFonts w:ascii="Times New Roman" w:eastAsia="Symbol" w:hAnsi="Times New Roman" w:cs="Times New Roman"/>
                <w:i w:val="0"/>
                <w:sz w:val="24"/>
                <w:szCs w:val="24"/>
              </w:rPr>
            </w:pPr>
          </w:p>
          <w:p w:rsidR="00BE6E5C" w:rsidRPr="00BE6E5C" w:rsidRDefault="00BE6E5C" w:rsidP="00F85E27">
            <w:pPr>
              <w:spacing w:line="224" w:lineRule="auto"/>
              <w:jc w:val="both"/>
              <w:rPr>
                <w:rFonts w:ascii="Times New Roman" w:eastAsia="Symbol" w:hAnsi="Times New Roman" w:cs="Times New Roman"/>
                <w:i w:val="0"/>
                <w:sz w:val="24"/>
                <w:szCs w:val="24"/>
              </w:rPr>
            </w:pPr>
            <w:r w:rsidRPr="00BE6E5C"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  <w:t>Aporta una terminación de esmalte</w:t>
            </w:r>
            <w:r w:rsidR="00F85E27"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  <w:t>, y tiene una g</w:t>
            </w:r>
            <w:r w:rsidRPr="00BE6E5C"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  <w:t>ran lavabilidad y resistencia a los factores climáticos.</w:t>
            </w:r>
          </w:p>
          <w:p w:rsidR="00BE6E5C" w:rsidRPr="00BE6E5C" w:rsidRDefault="00BE6E5C" w:rsidP="00BE6E5C">
            <w:pPr>
              <w:spacing w:line="238" w:lineRule="auto"/>
              <w:ind w:right="140"/>
              <w:jc w:val="both"/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</w:pPr>
            <w:r w:rsidRPr="00BE6E5C"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  <w:t>No contiene plomo ni mercurio.</w:t>
            </w:r>
          </w:p>
          <w:p w:rsidR="00017174" w:rsidRPr="00977EAF" w:rsidRDefault="00977EAF" w:rsidP="000171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Esto lo convierte en un producto excepcionalmente indicado</w:t>
            </w:r>
            <w:r w:rsidR="00CE1A89"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para uso interior y exterior</w:t>
            </w:r>
            <w:r w:rsidR="00BE6E5C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sobre superficies metálica.</w:t>
            </w:r>
            <w:r w:rsidR="00CE1A89"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="00BE6E5C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</w:t>
            </w:r>
            <w:r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on excelente terminación y brillo, además de </w:t>
            </w:r>
            <w:r w:rsidR="00CE1A89"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optima dureza final junto a su notable flexibilidad, </w:t>
            </w:r>
            <w:r w:rsidR="00017174"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con muy buena resistencia al amarilleo, escasa </w:t>
            </w:r>
            <w:r w:rsidR="00CE1A89"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pérdida</w:t>
            </w:r>
            <w:r w:rsidR="00017174"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de brillo en el tiempo, de elevada resistencia </w:t>
            </w:r>
            <w:r w:rsidR="00CE1A89"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a la intemperie</w:t>
            </w:r>
            <w:r w:rsidR="00017174"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</w:p>
          <w:p w:rsidR="00017174" w:rsidRPr="00977EAF" w:rsidRDefault="00977EAF" w:rsidP="000171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De fácil aplicación, s</w:t>
            </w:r>
            <w:r w:rsidR="00017174"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us componentes le otorgan muy buena pintabilidad y una nivelación superior, logrando un secado inicial antes de 3 ½ hs. y un secado final a las 8 hs</w:t>
            </w:r>
            <w:r w:rsidR="00CE1A89"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.</w:t>
            </w:r>
          </w:p>
          <w:p w:rsidR="00CE1A89" w:rsidRPr="00F85E27" w:rsidRDefault="00977EAF" w:rsidP="00017174">
            <w:pPr>
              <w:autoSpaceDE w:val="0"/>
              <w:autoSpaceDN w:val="0"/>
              <w:adjustRightInd w:val="0"/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</w:pPr>
            <w:r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Estas</w:t>
            </w:r>
            <w:r w:rsidR="00CE1A89"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características,</w:t>
            </w:r>
            <w:r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junto</w:t>
            </w:r>
            <w:r w:rsidR="00CE1A89"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su fácil aplicación y excelente terminación hacen del  </w:t>
            </w:r>
            <w:r w:rsidR="00F85E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esmalte anticorrosivo estructural </w:t>
            </w:r>
            <w:r w:rsidR="00F85E27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F85E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F85E27"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  <w:t xml:space="preserve">Brillocrin </w:t>
            </w:r>
            <w:r w:rsidRPr="00977EA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un</w:t>
            </w:r>
            <w:r w:rsidR="00CE1A89"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producto  especialmente </w:t>
            </w:r>
            <w:r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efectivo</w:t>
            </w:r>
            <w:r w:rsidR="00CE1A89"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para su uso en la industria como en el hogar</w:t>
            </w:r>
            <w:r w:rsidRPr="00977EAF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.</w:t>
            </w:r>
          </w:p>
          <w:p w:rsidR="00CE1A89" w:rsidRDefault="00CE1A89" w:rsidP="00017174">
            <w:pPr>
              <w:autoSpaceDE w:val="0"/>
              <w:autoSpaceDN w:val="0"/>
              <w:adjustRightInd w:val="0"/>
              <w:rPr>
                <w:rFonts w:ascii="TT68o00" w:hAnsi="TT68o00" w:cs="TT68o00"/>
                <w:i w:val="0"/>
                <w:iCs w:val="0"/>
                <w:lang w:bidi="ar-SA"/>
              </w:rPr>
            </w:pPr>
          </w:p>
          <w:p w:rsidR="006F4584" w:rsidRPr="004F3E1A" w:rsidRDefault="006F4584" w:rsidP="00CE1A8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</w:p>
        </w:tc>
      </w:tr>
      <w:tr w:rsidR="005143AA" w:rsidRPr="00D64A8C" w:rsidTr="00D01029">
        <w:tc>
          <w:tcPr>
            <w:tcW w:w="2836" w:type="dxa"/>
          </w:tcPr>
          <w:p w:rsidR="005143AA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Usos</w:t>
            </w:r>
          </w:p>
        </w:tc>
        <w:tc>
          <w:tcPr>
            <w:tcW w:w="7512" w:type="dxa"/>
            <w:vAlign w:val="center"/>
          </w:tcPr>
          <w:p w:rsidR="00F85E27" w:rsidRDefault="00F85E27" w:rsidP="00CC6299">
            <w:pPr>
              <w:autoSpaceDE w:val="0"/>
              <w:autoSpaceDN w:val="0"/>
              <w:adjustRightInd w:val="0"/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</w:pPr>
            <w:r w:rsidRPr="00F85E27"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  <w:t>Ideal para protección de superficies metálicas en interiores y exteriores como: portones, rejas, verjas, balcones y estructuras metálicas en general. Presenta un muy buen comportamiento al usarse sobre metales ferrosos nuevos. También es apto para aplicarse sobre madera y concreto</w:t>
            </w:r>
            <w:r>
              <w:rPr>
                <w:rFonts w:ascii="Times New Roman" w:eastAsia="Arial" w:hAnsi="Times New Roman" w:cs="Times New Roman"/>
                <w:i w:val="0"/>
                <w:sz w:val="24"/>
                <w:szCs w:val="24"/>
              </w:rPr>
              <w:t xml:space="preserve">. </w:t>
            </w:r>
          </w:p>
          <w:p w:rsidR="00CC6299" w:rsidRPr="00F85E27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F85E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Posee un excelente poder cubriente. </w:t>
            </w:r>
          </w:p>
          <w:p w:rsidR="00CC6299" w:rsidRPr="00F85E27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F85E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Con un acabado suave, </w:t>
            </w:r>
            <w:r w:rsidR="00E975B5" w:rsidRPr="00F85E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brillante </w:t>
            </w:r>
            <w:r w:rsidRPr="00F85E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y </w:t>
            </w:r>
            <w:r w:rsidR="00E975B5" w:rsidRPr="00F85E2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sedoso</w:t>
            </w:r>
          </w:p>
          <w:p w:rsidR="00CC6299" w:rsidRPr="00F85E27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6A1BEF" w:rsidRPr="005143AA" w:rsidRDefault="006A1BEF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5143AA" w:rsidRPr="005143AA" w:rsidTr="00D01029">
        <w:tc>
          <w:tcPr>
            <w:tcW w:w="2836" w:type="dxa"/>
          </w:tcPr>
          <w:p w:rsidR="005143AA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Colores disponibles</w:t>
            </w:r>
          </w:p>
        </w:tc>
        <w:tc>
          <w:tcPr>
            <w:tcW w:w="7512" w:type="dxa"/>
            <w:vAlign w:val="center"/>
          </w:tcPr>
          <w:p w:rsidR="00FB00CE" w:rsidRDefault="00FB00CE" w:rsidP="00FB00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</w:pPr>
            <w:r w:rsidRPr="00DF4D76">
              <w:rPr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 xml:space="preserve">Blanco, Amarillo medio, Salmón, Magenta, Bermellón, Azul </w:t>
            </w:r>
            <w:proofErr w:type="spellStart"/>
            <w:r w:rsidRPr="00DF4D76">
              <w:rPr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Traful</w:t>
            </w:r>
            <w:proofErr w:type="spellEnd"/>
            <w:r w:rsidRPr="00DF4D76">
              <w:rPr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, Lila, Verde pradera, Ocre, Avellana, Rojo colonial, Borgoña, Marrón Habano, Olivo, Gris cemento, Gris Topo, Negro noche</w:t>
            </w:r>
          </w:p>
          <w:p w:rsidR="006A1BEF" w:rsidRDefault="006A1BEF" w:rsidP="00B1056D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Disponibles en sus versiones </w:t>
            </w:r>
            <w:r w:rsidRPr="006A1BEF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brillante, satinado y mate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6A1BEF" w:rsidRDefault="006A1BEF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6A1BEF" w:rsidRPr="005143AA" w:rsidRDefault="006A1BEF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594568" w:rsidRPr="005143AA" w:rsidTr="00D01029">
        <w:tc>
          <w:tcPr>
            <w:tcW w:w="2836" w:type="dxa"/>
          </w:tcPr>
          <w:p w:rsidR="00594568" w:rsidRPr="00CC6299" w:rsidRDefault="00594568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12" w:type="dxa"/>
            <w:vAlign w:val="center"/>
          </w:tcPr>
          <w:p w:rsidR="006A1BEF" w:rsidRDefault="006A1BEF" w:rsidP="00181D76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1E3021" w:rsidTr="00D01029">
        <w:tc>
          <w:tcPr>
            <w:tcW w:w="2836" w:type="dxa"/>
          </w:tcPr>
          <w:p w:rsidR="006F4584" w:rsidRPr="001E3021" w:rsidRDefault="005143AA" w:rsidP="00D01029">
            <w:pPr>
              <w:rPr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Medium" w:hAnsi="Times New Roman" w:cs="Times New Roman"/>
                <w:i w:val="0"/>
                <w:sz w:val="18"/>
                <w:szCs w:val="18"/>
              </w:rPr>
              <w:t>Preparación de la superficie</w:t>
            </w:r>
          </w:p>
        </w:tc>
        <w:tc>
          <w:tcPr>
            <w:tcW w:w="7512" w:type="dxa"/>
            <w:vAlign w:val="center"/>
          </w:tcPr>
          <w:p w:rsidR="00FA367A" w:rsidRPr="001E3021" w:rsidRDefault="00FA367A" w:rsidP="00FA36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 xml:space="preserve">La superficie debe estar limpia y seca. Libre de </w:t>
            </w:r>
            <w:proofErr w:type="spellStart"/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>grasitud</w:t>
            </w:r>
            <w:proofErr w:type="spellEnd"/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>, óxido, manchas y</w:t>
            </w:r>
            <w:r w:rsidR="008A606E"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 xml:space="preserve"> </w:t>
            </w:r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>polvo.</w:t>
            </w:r>
          </w:p>
          <w:p w:rsidR="008A606E" w:rsidRPr="001E3021" w:rsidRDefault="008A606E" w:rsidP="007F79D1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 w:val="0"/>
                <w:iCs w:val="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b/>
                <w:bCs/>
                <w:i w:val="0"/>
                <w:iCs w:val="0"/>
                <w:sz w:val="18"/>
                <w:szCs w:val="18"/>
                <w:lang w:bidi="ar-SA"/>
              </w:rPr>
              <w:lastRenderedPageBreak/>
              <w:t>Superficies metálicas</w:t>
            </w:r>
          </w:p>
          <w:p w:rsidR="008A606E" w:rsidRPr="001E3021" w:rsidRDefault="008A606E" w:rsidP="008A6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 xml:space="preserve">En superficies sin tratar, eliminar la presencia de óxido y </w:t>
            </w:r>
            <w:proofErr w:type="spellStart"/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>grasitud</w:t>
            </w:r>
            <w:proofErr w:type="spellEnd"/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 xml:space="preserve"> mediante el lijado y lavado con solvente y luego aplicar una mano de antióxido o fondo de herrería, esperar 24 horas y proceder a su pintado. En caso que haya pintura vieja y en buen estado, lijar la superficie, eliminar el polvillo y pintar</w:t>
            </w:r>
          </w:p>
          <w:p w:rsidR="008A606E" w:rsidRPr="001E3021" w:rsidRDefault="008A606E" w:rsidP="007F79D1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 w:val="0"/>
                <w:iCs w:val="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b/>
                <w:bCs/>
                <w:i w:val="0"/>
                <w:iCs w:val="0"/>
                <w:sz w:val="18"/>
                <w:szCs w:val="18"/>
                <w:lang w:bidi="ar-SA"/>
              </w:rPr>
              <w:t>Superficies de madera</w:t>
            </w:r>
          </w:p>
          <w:p w:rsidR="008A606E" w:rsidRPr="001E3021" w:rsidRDefault="008A606E" w:rsidP="008A6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>Sobre maderas nuevas aplicar una mano de fondo blanco para madera, esperar ocho horas y colocar dos manos de esmalt</w:t>
            </w:r>
            <w:r w:rsidR="00B916A0"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>e</w:t>
            </w:r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>.</w:t>
            </w:r>
          </w:p>
          <w:p w:rsidR="008A606E" w:rsidRPr="001E3021" w:rsidRDefault="008A606E" w:rsidP="007F79D1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 w:val="0"/>
                <w:iCs w:val="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b/>
                <w:bCs/>
                <w:i w:val="0"/>
                <w:iCs w:val="0"/>
                <w:sz w:val="18"/>
                <w:szCs w:val="18"/>
                <w:lang w:bidi="ar-SA"/>
              </w:rPr>
              <w:t>Paredes pintadas</w:t>
            </w:r>
          </w:p>
          <w:p w:rsidR="008A606E" w:rsidRPr="001E3021" w:rsidRDefault="008A606E" w:rsidP="008A6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>Si la superficie está pintada con pintura al agua en polvo, cepille eliminando la mayor cantidad de pintura floja o pulvurulenta, si la pintura existente es látex frote la superficie con una lija suave, limpie el polvo y pinte.</w:t>
            </w:r>
          </w:p>
          <w:p w:rsidR="008A606E" w:rsidRPr="001E3021" w:rsidRDefault="008A606E" w:rsidP="007F79D1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 w:val="0"/>
                <w:iCs w:val="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b/>
                <w:bCs/>
                <w:i w:val="0"/>
                <w:iCs w:val="0"/>
                <w:sz w:val="18"/>
                <w:szCs w:val="18"/>
                <w:lang w:bidi="ar-SA"/>
              </w:rPr>
              <w:t>Paredes nuevas muy absorbentes</w:t>
            </w:r>
          </w:p>
          <w:p w:rsidR="00FA367A" w:rsidRPr="001E3021" w:rsidRDefault="008A606E" w:rsidP="008A6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>Aplique previamente</w:t>
            </w:r>
            <w:r w:rsidR="007F79D1"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 xml:space="preserve"> una mano de fijador</w:t>
            </w:r>
            <w:r w:rsidRPr="001E3021"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  <w:t xml:space="preserve">, deje secar ocho horas o más y pinte con esmalte. </w:t>
            </w:r>
          </w:p>
          <w:p w:rsidR="008A606E" w:rsidRPr="001E3021" w:rsidRDefault="008A606E" w:rsidP="008A6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lang w:bidi="ar-SA"/>
              </w:rPr>
            </w:pPr>
          </w:p>
        </w:tc>
      </w:tr>
      <w:tr w:rsidR="006F4584" w:rsidRPr="001E3021" w:rsidTr="00D01029">
        <w:tc>
          <w:tcPr>
            <w:tcW w:w="2836" w:type="dxa"/>
          </w:tcPr>
          <w:p w:rsidR="006F4584" w:rsidRPr="001E3021" w:rsidRDefault="005143AA" w:rsidP="00D01029">
            <w:pPr>
              <w:rPr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Medium" w:hAnsi="Times New Roman" w:cs="Times New Roman"/>
                <w:i w:val="0"/>
                <w:sz w:val="18"/>
                <w:szCs w:val="18"/>
              </w:rPr>
              <w:lastRenderedPageBreak/>
              <w:t>Aplicación</w:t>
            </w:r>
          </w:p>
        </w:tc>
        <w:tc>
          <w:tcPr>
            <w:tcW w:w="7512" w:type="dxa"/>
            <w:vAlign w:val="center"/>
          </w:tcPr>
          <w:p w:rsidR="006F4584" w:rsidRPr="001E3021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A p</w:t>
            </w:r>
            <w:r w:rsidR="002C2832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incel, rodillo o soplete convencional</w:t>
            </w: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.</w:t>
            </w:r>
          </w:p>
          <w:p w:rsidR="002C2832" w:rsidRPr="001E3021" w:rsidRDefault="007F79D1" w:rsidP="002C283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El pincel</w:t>
            </w:r>
            <w:r w:rsidR="002C2832"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, rodillo o pistola a usar para la aplicación de la pintura se deben encontrar en buen estado.</w:t>
            </w:r>
          </w:p>
          <w:p w:rsidR="002C2832" w:rsidRPr="001E3021" w:rsidRDefault="002C2832" w:rsidP="002C283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Destape el envase de la pintura y mediante una paleta agítela hasta homogen</w:t>
            </w:r>
            <w:r w:rsidR="007F79D1"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e</w:t>
            </w: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izarla.</w:t>
            </w:r>
          </w:p>
          <w:p w:rsidR="002C2832" w:rsidRPr="001E3021" w:rsidRDefault="002C2832" w:rsidP="002C283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Agregue diluyente hasta que la pintura se pueda</w:t>
            </w:r>
            <w:r w:rsidR="007F79D1"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 xml:space="preserve"> </w:t>
            </w: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aplicar sin defectos, use un máximo de 1 volumen de</w:t>
            </w:r>
            <w:r w:rsidR="007F79D1"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 xml:space="preserve"> </w:t>
            </w: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diluyente por 6 volúmenes de pintura. Se</w:t>
            </w:r>
            <w:r w:rsidR="007F79D1"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 xml:space="preserve"> </w:t>
            </w: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recomienda diluir solo lo que se va a usar.</w:t>
            </w:r>
          </w:p>
          <w:p w:rsidR="002C2832" w:rsidRPr="001E3021" w:rsidRDefault="002C2832" w:rsidP="002C283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Aplique una capa delgada y uniforme, no recargar</w:t>
            </w:r>
            <w:r w:rsidR="007F79D1"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 xml:space="preserve"> </w:t>
            </w: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demasiado.</w:t>
            </w:r>
          </w:p>
          <w:p w:rsidR="002C2832" w:rsidRPr="001E3021" w:rsidRDefault="002C2832" w:rsidP="002C283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</w:pP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Después de 18 horas de secado aplique otra capa</w:t>
            </w:r>
            <w:r w:rsidR="007F79D1"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 xml:space="preserve"> </w:t>
            </w: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adicional si se requiere. Después de 2 semanas de</w:t>
            </w:r>
            <w:r w:rsidR="007F79D1"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 xml:space="preserve"> </w:t>
            </w:r>
            <w:r w:rsidRPr="001E3021">
              <w:rPr>
                <w:rFonts w:ascii="Times New Roman" w:hAnsi="Times New Roman" w:cs="Times New Roman"/>
                <w:i w:val="0"/>
                <w:iCs w:val="0"/>
                <w:color w:val="231F20"/>
                <w:sz w:val="18"/>
                <w:szCs w:val="18"/>
                <w:lang w:bidi="ar-SA"/>
              </w:rPr>
              <w:t>secado, se debe lijar ligeramente la superficie.</w:t>
            </w:r>
          </w:p>
          <w:p w:rsidR="00F85E27" w:rsidRPr="001E3021" w:rsidRDefault="00F85E27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</w:p>
        </w:tc>
      </w:tr>
      <w:tr w:rsidR="00CC6299" w:rsidRPr="001E3021" w:rsidTr="00D01029">
        <w:tc>
          <w:tcPr>
            <w:tcW w:w="2836" w:type="dxa"/>
          </w:tcPr>
          <w:p w:rsidR="00CC6299" w:rsidRPr="001E3021" w:rsidRDefault="00CC6299" w:rsidP="00D01029">
            <w:pPr>
              <w:rPr>
                <w:rFonts w:ascii="Times New Roman" w:eastAsia="KozGoPro-Medium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Medium" w:hAnsi="Times New Roman" w:cs="Times New Roman"/>
                <w:i w:val="0"/>
                <w:sz w:val="18"/>
                <w:szCs w:val="18"/>
              </w:rPr>
              <w:t>Composición</w:t>
            </w:r>
          </w:p>
          <w:p w:rsidR="00F85E27" w:rsidRPr="001E3021" w:rsidRDefault="00F85E27" w:rsidP="00D01029">
            <w:pPr>
              <w:rPr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7512" w:type="dxa"/>
            <w:vAlign w:val="center"/>
          </w:tcPr>
          <w:p w:rsidR="00CC6299" w:rsidRPr="001E3021" w:rsidRDefault="001E3021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Este esmalte orgánico</w:t>
            </w:r>
            <w:r w:rsidR="00CC6299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es elaborado </w:t>
            </w: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con resina</w:t>
            </w:r>
            <w:r w:rsidR="00CC6299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</w:t>
            </w:r>
            <w:r w:rsidR="00DA26C0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poliméricas de </w:t>
            </w:r>
            <w:bookmarkStart w:id="0" w:name="_GoBack"/>
            <w:bookmarkEnd w:id="0"/>
            <w:proofErr w:type="spellStart"/>
            <w:r w:rsidR="00DA26C0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alkyd-poliester</w:t>
            </w:r>
            <w:proofErr w:type="spellEnd"/>
            <w:r w:rsidR="00D92717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de alta </w:t>
            </w:r>
            <w:r w:rsidR="00DA26C0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resistencia,</w:t>
            </w:r>
            <w:r w:rsidR="00CC6299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pigmentos </w:t>
            </w:r>
            <w:r w:rsidR="00D92717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in</w:t>
            </w:r>
            <w:r w:rsidR="00CC6299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orgánicos</w:t>
            </w:r>
            <w:r w:rsidR="00F85E27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,</w:t>
            </w:r>
            <w:r w:rsidR="00DA26C0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orgánico</w:t>
            </w:r>
            <w:r w:rsidR="00F85E27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y anticorrosivos,</w:t>
            </w:r>
            <w:r w:rsidR="00CC6299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cargas minerales  </w:t>
            </w:r>
          </w:p>
          <w:p w:rsidR="000C34EA" w:rsidRPr="001E3021" w:rsidRDefault="00CC6299" w:rsidP="00DA26C0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Regular" w:hAnsi="Times New Roman" w:cs="Times New Roman"/>
                <w:b/>
                <w:i w:val="0"/>
                <w:sz w:val="18"/>
                <w:szCs w:val="18"/>
              </w:rPr>
              <w:t>Importante:</w:t>
            </w: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todos nuestros productos son libr</w:t>
            </w:r>
            <w:r w:rsidR="00DA26C0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es de metales </w:t>
            </w:r>
            <w:r w:rsidR="001E3021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pesados, </w:t>
            </w:r>
            <w:proofErr w:type="spellStart"/>
            <w:r w:rsidR="001E3021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tensoactivos</w:t>
            </w:r>
            <w:proofErr w:type="spellEnd"/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</w:t>
            </w:r>
            <w:proofErr w:type="spellStart"/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sulfónicos</w:t>
            </w:r>
            <w:proofErr w:type="spellEnd"/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, </w:t>
            </w:r>
            <w:proofErr w:type="spellStart"/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carboxilados</w:t>
            </w:r>
            <w:proofErr w:type="spellEnd"/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y fungicidas mercuriales.</w:t>
            </w:r>
          </w:p>
        </w:tc>
      </w:tr>
      <w:tr w:rsidR="006F4584" w:rsidRPr="001E3021" w:rsidTr="00D01029">
        <w:tc>
          <w:tcPr>
            <w:tcW w:w="2836" w:type="dxa"/>
          </w:tcPr>
          <w:p w:rsidR="006F4584" w:rsidRPr="001E3021" w:rsidRDefault="005143AA" w:rsidP="00D01029">
            <w:pPr>
              <w:rPr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Medium" w:hAnsi="Times New Roman" w:cs="Times New Roman"/>
                <w:i w:val="0"/>
                <w:sz w:val="18"/>
                <w:szCs w:val="18"/>
              </w:rPr>
              <w:t>Envases</w:t>
            </w:r>
          </w:p>
        </w:tc>
        <w:tc>
          <w:tcPr>
            <w:tcW w:w="7512" w:type="dxa"/>
            <w:vAlign w:val="center"/>
          </w:tcPr>
          <w:p w:rsidR="000C34EA" w:rsidRPr="001E3021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</w:p>
          <w:p w:rsidR="006F4584" w:rsidRPr="001E3021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1, 4, 10, 20, 200 Litros</w:t>
            </w:r>
          </w:p>
          <w:p w:rsidR="000C34EA" w:rsidRPr="001E3021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</w:p>
        </w:tc>
      </w:tr>
      <w:tr w:rsidR="006F4584" w:rsidRPr="001E3021" w:rsidTr="00D01029">
        <w:tc>
          <w:tcPr>
            <w:tcW w:w="2836" w:type="dxa"/>
          </w:tcPr>
          <w:p w:rsidR="006F4584" w:rsidRPr="001E3021" w:rsidRDefault="005143AA" w:rsidP="00D01029">
            <w:pPr>
              <w:rPr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Medium" w:hAnsi="Times New Roman" w:cs="Times New Roman"/>
                <w:i w:val="0"/>
                <w:sz w:val="18"/>
                <w:szCs w:val="18"/>
              </w:rPr>
              <w:t>Rendimiento</w:t>
            </w:r>
          </w:p>
        </w:tc>
        <w:tc>
          <w:tcPr>
            <w:tcW w:w="7512" w:type="dxa"/>
            <w:vAlign w:val="center"/>
          </w:tcPr>
          <w:p w:rsidR="006F4584" w:rsidRPr="001E3021" w:rsidRDefault="00F85E27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8</w:t>
            </w:r>
            <w:r w:rsidR="00E06458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a 1</w:t>
            </w: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0</w:t>
            </w:r>
            <w:r w:rsidR="00E06458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m2/</w:t>
            </w:r>
            <w:r w:rsidR="005978C6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Lts</w:t>
            </w:r>
            <w:r w:rsidR="00E06458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por mano, dependiendo de la superficie, el modo de aplicación y el</w:t>
            </w:r>
            <w:r w:rsidR="005978C6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</w:t>
            </w:r>
            <w:r w:rsidR="00E06458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nivel de exigencia</w:t>
            </w: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anticorrosiva requerida</w:t>
            </w:r>
            <w:r w:rsidR="00E06458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. Se recomienda aplicar 2 </w:t>
            </w:r>
            <w:r w:rsidR="00DA26C0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o 3 </w:t>
            </w:r>
            <w:r w:rsidR="00E06458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manos</w:t>
            </w:r>
            <w:r w:rsidR="00DA26C0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.</w:t>
            </w:r>
          </w:p>
          <w:p w:rsidR="00067ED4" w:rsidRPr="001E3021" w:rsidRDefault="00067ED4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</w:p>
        </w:tc>
      </w:tr>
      <w:tr w:rsidR="006F4584" w:rsidRPr="001E3021" w:rsidTr="00D01029">
        <w:tc>
          <w:tcPr>
            <w:tcW w:w="2836" w:type="dxa"/>
          </w:tcPr>
          <w:p w:rsidR="006F4584" w:rsidRPr="001E3021" w:rsidRDefault="005143AA" w:rsidP="00D01029">
            <w:pPr>
              <w:rPr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Medium" w:hAnsi="Times New Roman" w:cs="Times New Roman"/>
                <w:i w:val="0"/>
                <w:sz w:val="18"/>
                <w:szCs w:val="18"/>
              </w:rPr>
              <w:t>Recomendaciones</w:t>
            </w:r>
          </w:p>
        </w:tc>
        <w:tc>
          <w:tcPr>
            <w:tcW w:w="7512" w:type="dxa"/>
            <w:vAlign w:val="center"/>
          </w:tcPr>
          <w:p w:rsidR="00E06458" w:rsidRPr="001E3021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Revolver muy bien la pintura antes de utilizar.</w:t>
            </w:r>
          </w:p>
          <w:p w:rsidR="00E06458" w:rsidRPr="001E3021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Si tiene que usar más de un envase de distintas partidas, conviene siempre mezclar sus contenidos.</w:t>
            </w:r>
          </w:p>
          <w:p w:rsidR="00E06458" w:rsidRPr="001E3021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No es conveniente pintar sobre superficies calientes.</w:t>
            </w:r>
          </w:p>
          <w:p w:rsidR="00E06458" w:rsidRPr="001E3021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No aplicar con temperaturas menores a 5º C, ni mayores a 40º C.</w:t>
            </w:r>
          </w:p>
          <w:p w:rsidR="00E06458" w:rsidRPr="001E3021" w:rsidRDefault="00DA26C0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Dilución con aguarrás</w:t>
            </w:r>
            <w:r w:rsidR="00E06458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(máximo </w:t>
            </w: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5</w:t>
            </w:r>
            <w:r w:rsidR="00E06458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%).</w:t>
            </w:r>
          </w:p>
          <w:p w:rsidR="00E06458" w:rsidRPr="001E3021" w:rsidRDefault="00DA26C0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Secado entre manos</w:t>
            </w:r>
            <w:r w:rsidR="00E06458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6 horas.</w:t>
            </w:r>
          </w:p>
          <w:p w:rsidR="00E06458" w:rsidRPr="001E3021" w:rsidRDefault="00DA26C0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Secado final 3</w:t>
            </w:r>
            <w:r w:rsidR="00E06458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días.</w:t>
            </w:r>
          </w:p>
          <w:p w:rsidR="006F4584" w:rsidRPr="001E3021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Limpiar con </w:t>
            </w:r>
            <w:r w:rsidR="00DA26C0"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>aguarrás</w:t>
            </w:r>
            <w:r w:rsidRPr="001E3021"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  <w:t xml:space="preserve"> los elementos utilizados, salpicaduras y manchas antes de que se sequen.</w:t>
            </w:r>
          </w:p>
          <w:p w:rsidR="000C34EA" w:rsidRPr="001E3021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8"/>
                <w:szCs w:val="18"/>
              </w:rPr>
            </w:pPr>
          </w:p>
        </w:tc>
      </w:tr>
      <w:tr w:rsidR="00E06458" w:rsidRPr="001E3021" w:rsidTr="00D01029">
        <w:tc>
          <w:tcPr>
            <w:tcW w:w="2836" w:type="dxa"/>
          </w:tcPr>
          <w:p w:rsidR="00E06458" w:rsidRPr="001E3021" w:rsidRDefault="005143AA" w:rsidP="00D01029">
            <w:pPr>
              <w:rPr>
                <w:rFonts w:ascii="Times New Roman" w:eastAsia="KozGoPro-Medium" w:hAnsi="Times New Roman" w:cs="Times New Roman"/>
                <w:i w:val="0"/>
                <w:sz w:val="14"/>
                <w:szCs w:val="14"/>
              </w:rPr>
            </w:pPr>
            <w:r w:rsidRPr="001E3021">
              <w:rPr>
                <w:rFonts w:ascii="Times New Roman" w:eastAsia="KozGoPro-Medium" w:hAnsi="Times New Roman" w:cs="Times New Roman"/>
                <w:i w:val="0"/>
                <w:sz w:val="14"/>
                <w:szCs w:val="14"/>
              </w:rPr>
              <w:t>Precauciones</w:t>
            </w:r>
          </w:p>
        </w:tc>
        <w:tc>
          <w:tcPr>
            <w:tcW w:w="7512" w:type="dxa"/>
            <w:vAlign w:val="center"/>
          </w:tcPr>
          <w:p w:rsidR="00E06458" w:rsidRPr="001E3021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</w:pPr>
            <w:r w:rsidRPr="001E3021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 xml:space="preserve">Mantener el envase cerrado fuera del alcance de los niños, animales o fuentes de calor. Utilice elementos de protección personal. En caso de contacto con la piel lavar las manos y los brazos con </w:t>
            </w:r>
            <w:r w:rsidR="00DA26C0" w:rsidRPr="001E3021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>aceite de cocina y luego lavar con abundante agua y jabón</w:t>
            </w:r>
            <w:r w:rsidRPr="001E3021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>. En caso de ingestión, no provocar vómitos, beber abundante agua y consultar al Centro de Toxicología.</w:t>
            </w:r>
          </w:p>
          <w:p w:rsidR="00DA26C0" w:rsidRPr="001E3021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</w:pPr>
            <w:proofErr w:type="spellStart"/>
            <w:r w:rsidRPr="001E3021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>Ctro</w:t>
            </w:r>
            <w:proofErr w:type="spellEnd"/>
            <w:r w:rsidRPr="001E3021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 xml:space="preserve">. </w:t>
            </w:r>
            <w:proofErr w:type="spellStart"/>
            <w:r w:rsidRPr="001E3021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>Nac</w:t>
            </w:r>
            <w:proofErr w:type="spellEnd"/>
            <w:r w:rsidRPr="001E3021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 xml:space="preserve">. de Intoxicaciones 0800-333-0160 / </w:t>
            </w:r>
            <w:proofErr w:type="spellStart"/>
            <w:r w:rsidRPr="001E3021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>Ctro</w:t>
            </w:r>
            <w:proofErr w:type="spellEnd"/>
            <w:r w:rsidRPr="001E3021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 xml:space="preserve">. de Intoxicaciones </w:t>
            </w:r>
            <w:proofErr w:type="spellStart"/>
            <w:r w:rsidRPr="001E3021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>Hosp</w:t>
            </w:r>
            <w:proofErr w:type="spellEnd"/>
            <w:r w:rsidRPr="001E3021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 xml:space="preserve">. Posadas (011)4658-7777 / Córdoba (0351)421-5400/422-2039 / Rosario (0341)4480202 / La Plata (0221)451-5555. En caso de encontrarse violado el precinto de seguridad del envase, no proceder a la compra. </w:t>
            </w:r>
          </w:p>
          <w:p w:rsidR="00E06458" w:rsidRPr="001E3021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</w:pPr>
            <w:r w:rsidRPr="001E3021"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  <w:t>No reutilizar el envase.</w:t>
            </w:r>
          </w:p>
          <w:p w:rsidR="00E06458" w:rsidRPr="001E3021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14"/>
                <w:szCs w:val="14"/>
              </w:rPr>
            </w:pPr>
            <w:r w:rsidRPr="001E3021">
              <w:rPr>
                <w:rFonts w:ascii="Times New Roman" w:eastAsia="KozGoPro-Medium" w:hAnsi="Times New Roman" w:cs="Times New Roman"/>
                <w:i w:val="0"/>
                <w:sz w:val="14"/>
                <w:szCs w:val="14"/>
              </w:rPr>
              <w:t xml:space="preserve">Se hace notar que este no es un documento de especificaciones legales, la información se brinda de buena </w:t>
            </w:r>
            <w:r w:rsidR="00613DEF" w:rsidRPr="001E3021">
              <w:rPr>
                <w:rFonts w:ascii="Times New Roman" w:eastAsia="KozGoPro-Medium" w:hAnsi="Times New Roman" w:cs="Times New Roman"/>
                <w:i w:val="0"/>
                <w:sz w:val="14"/>
                <w:szCs w:val="14"/>
              </w:rPr>
              <w:t>fe</w:t>
            </w:r>
            <w:r w:rsidRPr="001E3021">
              <w:rPr>
                <w:rFonts w:ascii="Times New Roman" w:eastAsia="KozGoPro-Medium" w:hAnsi="Times New Roman" w:cs="Times New Roman"/>
                <w:i w:val="0"/>
                <w:sz w:val="14"/>
                <w:szCs w:val="14"/>
              </w:rPr>
              <w:t xml:space="preserve"> y sin garantía.</w:t>
            </w:r>
          </w:p>
        </w:tc>
      </w:tr>
    </w:tbl>
    <w:p w:rsidR="006F4584" w:rsidRPr="001E3021" w:rsidRDefault="006F4584">
      <w:pPr>
        <w:rPr>
          <w:rFonts w:ascii="Times New Roman" w:hAnsi="Times New Roman" w:cs="Times New Roman"/>
          <w:sz w:val="18"/>
          <w:szCs w:val="18"/>
        </w:rPr>
      </w:pPr>
    </w:p>
    <w:p w:rsidR="006F4584" w:rsidRPr="001E3021" w:rsidRDefault="006F4584">
      <w:pPr>
        <w:rPr>
          <w:rFonts w:ascii="Times New Roman" w:hAnsi="Times New Roman" w:cs="Times New Roman"/>
          <w:sz w:val="18"/>
          <w:szCs w:val="18"/>
        </w:rPr>
      </w:pPr>
    </w:p>
    <w:sectPr w:rsidR="006F4584" w:rsidRPr="001E3021" w:rsidSect="001E3021">
      <w:headerReference w:type="default" r:id="rId8"/>
      <w:pgSz w:w="12240" w:h="15840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355" w:rsidRDefault="00816355" w:rsidP="00613DEF">
      <w:pPr>
        <w:spacing w:after="0" w:line="240" w:lineRule="auto"/>
      </w:pPr>
      <w:r>
        <w:separator/>
      </w:r>
    </w:p>
  </w:endnote>
  <w:endnote w:type="continuationSeparator" w:id="0">
    <w:p w:rsidR="00816355" w:rsidRDefault="00816355" w:rsidP="0061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GoPro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ozGo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68o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355" w:rsidRDefault="00816355" w:rsidP="00613DEF">
      <w:pPr>
        <w:spacing w:after="0" w:line="240" w:lineRule="auto"/>
      </w:pPr>
      <w:r>
        <w:separator/>
      </w:r>
    </w:p>
  </w:footnote>
  <w:footnote w:type="continuationSeparator" w:id="0">
    <w:p w:rsidR="00816355" w:rsidRDefault="00816355" w:rsidP="0061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528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E535" w:themeFill="background2" w:themeFillShade="BF"/>
      <w:tblLook w:val="04A0"/>
    </w:tblPr>
    <w:tblGrid>
      <w:gridCol w:w="5359"/>
      <w:gridCol w:w="4218"/>
    </w:tblGrid>
    <w:tr w:rsidR="001E3021" w:rsidTr="001E3021">
      <w:trPr>
        <w:trHeight w:val="1254"/>
      </w:trPr>
      <w:tc>
        <w:tcPr>
          <w:tcW w:w="2798" w:type="pct"/>
          <w:shd w:val="clear" w:color="auto" w:fill="FFFFFF" w:themeFill="background1"/>
          <w:vAlign w:val="center"/>
        </w:tcPr>
        <w:p w:rsidR="001E3021" w:rsidRDefault="001E3021" w:rsidP="00BE6E5C">
          <w:pPr>
            <w:pStyle w:val="Encabezado"/>
          </w:pPr>
          <w:r w:rsidRPr="00613DEF">
            <w:rPr>
              <w:noProof/>
              <w:lang w:eastAsia="es-AR" w:bidi="ar-SA"/>
            </w:rPr>
            <w:drawing>
              <wp:inline distT="0" distB="0" distL="0" distR="0">
                <wp:extent cx="1828800" cy="685800"/>
                <wp:effectExtent l="152400" t="171450" r="342900" b="342900"/>
                <wp:docPr id="2" name="Imagen 1" descr="COLOR ZERO HORIZONTAL2-01.jpg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 Imagen" descr="COLOR ZERO HORIZONTAL2-01.jpg">
                          <a:extLst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2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25134" b="213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02" w:type="pct"/>
          <w:shd w:val="clear" w:color="auto" w:fill="FFFFFF" w:themeFill="background1"/>
          <w:vAlign w:val="center"/>
        </w:tcPr>
        <w:p w:rsidR="001E3021" w:rsidRPr="001E3021" w:rsidRDefault="001E3021" w:rsidP="00A23FF2">
          <w:pPr>
            <w:pStyle w:val="Encabezado"/>
            <w:jc w:val="center"/>
            <w:rPr>
              <w:rFonts w:ascii="Arial Black" w:hAnsi="Arial Black"/>
              <w:i w:val="0"/>
              <w:color w:val="3667C3" w:themeColor="accent2" w:themeShade="BF"/>
              <w:sz w:val="40"/>
              <w:szCs w:val="40"/>
            </w:rPr>
          </w:pPr>
          <w:r w:rsidRPr="001E3021">
            <w:rPr>
              <w:rFonts w:ascii="Arial Black" w:hAnsi="Arial Black"/>
              <w:b/>
              <w:i w:val="0"/>
              <w:color w:val="3667C3" w:themeColor="accent2" w:themeShade="BF"/>
              <w:sz w:val="40"/>
              <w:szCs w:val="40"/>
            </w:rPr>
            <w:t>Esmalte Sintético Brillocrin 3 en 1</w:t>
          </w:r>
        </w:p>
      </w:tc>
    </w:tr>
  </w:tbl>
  <w:p w:rsidR="00BE6E5C" w:rsidRDefault="00BE6E5C" w:rsidP="001E302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87.75pt;height:90.75pt" o:bullet="t">
        <v:imagedata r:id="rId1" o:title="Logo Color zero"/>
      </v:shape>
    </w:pict>
  </w:numPicBullet>
  <w:abstractNum w:abstractNumId="0">
    <w:nsid w:val="00000001"/>
    <w:multiLevelType w:val="hybridMultilevel"/>
    <w:tmpl w:val="74B0DC50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3EA31AB"/>
    <w:multiLevelType w:val="hybridMultilevel"/>
    <w:tmpl w:val="34643EE8"/>
    <w:lvl w:ilvl="0" w:tplc="EAA208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C226D"/>
    <w:multiLevelType w:val="hybridMultilevel"/>
    <w:tmpl w:val="8C0631F8"/>
    <w:lvl w:ilvl="0" w:tplc="EAA208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FA6D44"/>
    <w:multiLevelType w:val="hybridMultilevel"/>
    <w:tmpl w:val="24425CE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D3F6F"/>
    <w:multiLevelType w:val="hybridMultilevel"/>
    <w:tmpl w:val="C408104C"/>
    <w:lvl w:ilvl="0" w:tplc="833E79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C43357"/>
    <w:multiLevelType w:val="hybridMultilevel"/>
    <w:tmpl w:val="8C3C6E1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0A61E7"/>
    <w:multiLevelType w:val="hybridMultilevel"/>
    <w:tmpl w:val="190C22AE"/>
    <w:lvl w:ilvl="0" w:tplc="833E79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05606D"/>
    <w:multiLevelType w:val="hybridMultilevel"/>
    <w:tmpl w:val="936C3986"/>
    <w:lvl w:ilvl="0" w:tplc="EAA2082E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F4584"/>
    <w:rsid w:val="00017174"/>
    <w:rsid w:val="00067ED4"/>
    <w:rsid w:val="000C34EA"/>
    <w:rsid w:val="000D5CDC"/>
    <w:rsid w:val="0015751D"/>
    <w:rsid w:val="00181D76"/>
    <w:rsid w:val="0019025D"/>
    <w:rsid w:val="001E3021"/>
    <w:rsid w:val="00217B3B"/>
    <w:rsid w:val="00236CED"/>
    <w:rsid w:val="00261EA6"/>
    <w:rsid w:val="002C2832"/>
    <w:rsid w:val="002E611A"/>
    <w:rsid w:val="0031636E"/>
    <w:rsid w:val="003569FA"/>
    <w:rsid w:val="003728C9"/>
    <w:rsid w:val="003904C0"/>
    <w:rsid w:val="00391899"/>
    <w:rsid w:val="00434833"/>
    <w:rsid w:val="004348C1"/>
    <w:rsid w:val="004508CB"/>
    <w:rsid w:val="00455930"/>
    <w:rsid w:val="00465E81"/>
    <w:rsid w:val="004F3E1A"/>
    <w:rsid w:val="005143AA"/>
    <w:rsid w:val="00543377"/>
    <w:rsid w:val="005706B8"/>
    <w:rsid w:val="0058303B"/>
    <w:rsid w:val="00594568"/>
    <w:rsid w:val="005978C6"/>
    <w:rsid w:val="005A4420"/>
    <w:rsid w:val="005B54E3"/>
    <w:rsid w:val="005E258F"/>
    <w:rsid w:val="00603A56"/>
    <w:rsid w:val="00613DEF"/>
    <w:rsid w:val="00651A4E"/>
    <w:rsid w:val="006A1BEF"/>
    <w:rsid w:val="006F4584"/>
    <w:rsid w:val="006F5658"/>
    <w:rsid w:val="007F79D1"/>
    <w:rsid w:val="00816355"/>
    <w:rsid w:val="00837D83"/>
    <w:rsid w:val="00874851"/>
    <w:rsid w:val="008A606E"/>
    <w:rsid w:val="008E7834"/>
    <w:rsid w:val="00904B06"/>
    <w:rsid w:val="00927F6D"/>
    <w:rsid w:val="00977EAF"/>
    <w:rsid w:val="009B2D9B"/>
    <w:rsid w:val="009E2D8D"/>
    <w:rsid w:val="00A23FF2"/>
    <w:rsid w:val="00A40542"/>
    <w:rsid w:val="00A96B27"/>
    <w:rsid w:val="00B1056D"/>
    <w:rsid w:val="00B916A0"/>
    <w:rsid w:val="00B917D0"/>
    <w:rsid w:val="00BE6E5C"/>
    <w:rsid w:val="00C80ECB"/>
    <w:rsid w:val="00C94701"/>
    <w:rsid w:val="00CC6299"/>
    <w:rsid w:val="00CE1A89"/>
    <w:rsid w:val="00CF1CFC"/>
    <w:rsid w:val="00D01029"/>
    <w:rsid w:val="00D13C44"/>
    <w:rsid w:val="00D64610"/>
    <w:rsid w:val="00D64A8C"/>
    <w:rsid w:val="00D92717"/>
    <w:rsid w:val="00DA26C0"/>
    <w:rsid w:val="00E06458"/>
    <w:rsid w:val="00E975B5"/>
    <w:rsid w:val="00EB2222"/>
    <w:rsid w:val="00F43E84"/>
    <w:rsid w:val="00F71D28"/>
    <w:rsid w:val="00F85E27"/>
    <w:rsid w:val="00FA367A"/>
    <w:rsid w:val="00FB00CE"/>
    <w:rsid w:val="00FF4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DEF"/>
    <w:rPr>
      <w:i/>
      <w:iCs/>
      <w:sz w:val="20"/>
      <w:szCs w:val="20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613DEF"/>
    <w:pPr>
      <w:pBdr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</w:pBdr>
      <w:shd w:val="clear" w:color="auto" w:fill="E3EAF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4482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3DEF"/>
    <w:pPr>
      <w:pBdr>
        <w:top w:val="single" w:sz="4" w:space="0" w:color="7598D9" w:themeColor="accent2"/>
        <w:left w:val="single" w:sz="48" w:space="2" w:color="7598D9" w:themeColor="accent2"/>
        <w:bottom w:val="single" w:sz="4" w:space="0" w:color="7598D9" w:themeColor="accent2"/>
        <w:right w:val="single" w:sz="4" w:space="4" w:color="7598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3DEF"/>
    <w:pPr>
      <w:pBdr>
        <w:left w:val="single" w:sz="48" w:space="2" w:color="7598D9" w:themeColor="accent2"/>
        <w:bottom w:val="single" w:sz="4" w:space="0" w:color="7598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3DEF"/>
    <w:pPr>
      <w:pBdr>
        <w:left w:val="single" w:sz="4" w:space="2" w:color="7598D9" w:themeColor="accent2"/>
        <w:bottom w:val="single" w:sz="4" w:space="2" w:color="7598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3DEF"/>
    <w:pPr>
      <w:pBdr>
        <w:left w:val="dotted" w:sz="4" w:space="2" w:color="7598D9" w:themeColor="accent2"/>
        <w:bottom w:val="dotted" w:sz="4" w:space="2" w:color="7598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3DEF"/>
    <w:pPr>
      <w:pBdr>
        <w:bottom w:val="single" w:sz="4" w:space="2" w:color="C7D5E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3DEF"/>
    <w:pPr>
      <w:pBdr>
        <w:bottom w:val="dotted" w:sz="4" w:space="2" w:color="ACC1E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3DE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8D9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3DE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7598D9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45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DEF"/>
  </w:style>
  <w:style w:type="paragraph" w:styleId="Piedepgina">
    <w:name w:val="footer"/>
    <w:basedOn w:val="Normal"/>
    <w:link w:val="Piedepgina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3DEF"/>
  </w:style>
  <w:style w:type="paragraph" w:styleId="Textodeglobo">
    <w:name w:val="Balloon Text"/>
    <w:basedOn w:val="Normal"/>
    <w:link w:val="TextodegloboCar"/>
    <w:uiPriority w:val="99"/>
    <w:semiHidden/>
    <w:unhideWhenUsed/>
    <w:rsid w:val="0061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D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13DEF"/>
    <w:rPr>
      <w:rFonts w:asciiTheme="majorHAnsi" w:eastAsiaTheme="majorEastAsia" w:hAnsiTheme="majorHAnsi" w:cstheme="majorBidi"/>
      <w:b/>
      <w:bCs/>
      <w:i/>
      <w:iCs/>
      <w:color w:val="244482" w:themeColor="accent2" w:themeShade="7F"/>
      <w:shd w:val="clear" w:color="auto" w:fill="E3EAF7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613DEF"/>
    <w:rPr>
      <w:b/>
      <w:bCs/>
      <w:color w:val="3667C3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13DEF"/>
    <w:pPr>
      <w:pBdr>
        <w:top w:val="single" w:sz="48" w:space="0" w:color="7598D9" w:themeColor="accent2"/>
        <w:bottom w:val="single" w:sz="48" w:space="0" w:color="7598D9" w:themeColor="accent2"/>
      </w:pBdr>
      <w:shd w:val="clear" w:color="auto" w:fill="7598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613DE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7598D9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613DEF"/>
    <w:pPr>
      <w:pBdr>
        <w:bottom w:val="dotted" w:sz="8" w:space="10" w:color="7598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4482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13DEF"/>
    <w:rPr>
      <w:rFonts w:asciiTheme="majorHAnsi" w:eastAsiaTheme="majorEastAsia" w:hAnsiTheme="majorHAnsi" w:cstheme="majorBidi"/>
      <w:i/>
      <w:iCs/>
      <w:color w:val="244482" w:themeColor="accent2" w:themeShade="7F"/>
      <w:sz w:val="24"/>
      <w:szCs w:val="24"/>
    </w:rPr>
  </w:style>
  <w:style w:type="character" w:styleId="Textoennegrita">
    <w:name w:val="Strong"/>
    <w:uiPriority w:val="22"/>
    <w:qFormat/>
    <w:rsid w:val="00613DEF"/>
    <w:rPr>
      <w:b/>
      <w:bCs/>
      <w:spacing w:val="0"/>
    </w:rPr>
  </w:style>
  <w:style w:type="character" w:styleId="nfasis">
    <w:name w:val="Emphasis"/>
    <w:uiPriority w:val="20"/>
    <w:qFormat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bdr w:val="single" w:sz="18" w:space="0" w:color="E3EAF7" w:themeColor="accent2" w:themeTint="33"/>
      <w:shd w:val="clear" w:color="auto" w:fill="E3EAF7" w:themeFill="accent2" w:themeFillTint="33"/>
    </w:rPr>
  </w:style>
  <w:style w:type="paragraph" w:styleId="Sinespaciado">
    <w:name w:val="No Spacing"/>
    <w:basedOn w:val="Normal"/>
    <w:link w:val="SinespaciadoCar"/>
    <w:uiPriority w:val="1"/>
    <w:qFormat/>
    <w:rsid w:val="00613DE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13DE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13DEF"/>
    <w:rPr>
      <w:i w:val="0"/>
      <w:iCs w:val="0"/>
      <w:color w:val="3667C3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613DEF"/>
    <w:rPr>
      <w:color w:val="3667C3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3DEF"/>
    <w:pPr>
      <w:pBdr>
        <w:top w:val="dotted" w:sz="8" w:space="10" w:color="7598D9" w:themeColor="accent2"/>
        <w:bottom w:val="dotted" w:sz="8" w:space="10" w:color="7598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7598D9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sz w:val="20"/>
      <w:szCs w:val="20"/>
    </w:rPr>
  </w:style>
  <w:style w:type="character" w:styleId="nfasissutil">
    <w:name w:val="Subtle Emphasis"/>
    <w:uiPriority w:val="19"/>
    <w:qFormat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styleId="nfasisintenso">
    <w:name w:val="Intense Emphasis"/>
    <w:uiPriority w:val="21"/>
    <w:qFormat/>
    <w:rsid w:val="00613DE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598D9" w:themeColor="accent2"/>
      <w:shd w:val="clear" w:color="auto" w:fill="7598D9" w:themeFill="accent2"/>
      <w:vertAlign w:val="baseline"/>
    </w:rPr>
  </w:style>
  <w:style w:type="character" w:styleId="Referenciasutil">
    <w:name w:val="Subtle Reference"/>
    <w:uiPriority w:val="31"/>
    <w:qFormat/>
    <w:rsid w:val="00613DEF"/>
    <w:rPr>
      <w:i/>
      <w:iCs/>
      <w:smallCaps/>
      <w:color w:val="7598D9" w:themeColor="accent2"/>
      <w:u w:color="7598D9" w:themeColor="accent2"/>
    </w:rPr>
  </w:style>
  <w:style w:type="character" w:styleId="Referenciaintensa">
    <w:name w:val="Intense Reference"/>
    <w:uiPriority w:val="32"/>
    <w:qFormat/>
    <w:rsid w:val="00613DEF"/>
    <w:rPr>
      <w:b/>
      <w:bCs/>
      <w:i/>
      <w:iCs/>
      <w:smallCaps/>
      <w:color w:val="7598D9" w:themeColor="accent2"/>
      <w:u w:color="7598D9" w:themeColor="accent2"/>
    </w:rPr>
  </w:style>
  <w:style w:type="character" w:styleId="Ttulodellibro">
    <w:name w:val="Book Title"/>
    <w:uiPriority w:val="33"/>
    <w:qFormat/>
    <w:rsid w:val="00613DEF"/>
    <w:rPr>
      <w:rFonts w:asciiTheme="majorHAnsi" w:eastAsiaTheme="majorEastAsia" w:hAnsiTheme="majorHAnsi" w:cstheme="majorBidi"/>
      <w:b/>
      <w:bCs/>
      <w:i/>
      <w:iCs/>
      <w:smallCaps/>
      <w:color w:val="3667C3" w:themeColor="accent2" w:themeShade="BF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13DEF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13DEF"/>
    <w:rPr>
      <w:i/>
      <w:iCs/>
      <w:sz w:val="20"/>
      <w:szCs w:val="20"/>
    </w:rPr>
  </w:style>
  <w:style w:type="paragraph" w:customStyle="1" w:styleId="Default">
    <w:name w:val="Default"/>
    <w:rsid w:val="000171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A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Mirador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Concurrencia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12C2D-77FA-42A6-8208-3FAE2D904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845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7</cp:revision>
  <cp:lastPrinted>2017-07-24T11:57:00Z</cp:lastPrinted>
  <dcterms:created xsi:type="dcterms:W3CDTF">2017-05-06T15:19:00Z</dcterms:created>
  <dcterms:modified xsi:type="dcterms:W3CDTF">2018-08-28T12:00:00Z</dcterms:modified>
</cp:coreProperties>
</file>